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line="360" w:lineRule="auto"/>
        <w:jc w:val="center"/>
        <w:rPr>
          <w:b/>
          <w:sz w:val="22"/>
          <w:szCs w:val="22"/>
        </w:rPr>
      </w:pPr>
      <w:r>
        <w:rPr>
          <w:b/>
          <w:noProof/>
          <w:sz w:val="22"/>
          <w:szCs w:val="22"/>
        </w:rPr>
        <w:drawing>
          <wp:anchor distT="0" distB="0" distL="0" distR="0" simplePos="0" relativeHeight="251658240" behindDoc="0" locked="0" layoutInCell="1" allowOverlap="1">
            <wp:simplePos x="0" y="0"/>
            <wp:positionH relativeFrom="column">
              <wp:posOffset>-914400</wp:posOffset>
            </wp:positionH>
            <wp:positionV relativeFrom="paragraph">
              <wp:posOffset>-451485</wp:posOffset>
            </wp:positionV>
            <wp:extent cx="7559040" cy="10692130"/>
            <wp:effectExtent l="0" t="0" r="10160" b="1270"/>
            <wp:wrapTight wrapText="bothSides">
              <wp:wrapPolygon edited="0">
                <wp:start x="0" y="0"/>
                <wp:lineTo x="0" y="21551"/>
                <wp:lineTo x="21556" y="21551"/>
                <wp:lineTo x="21556" y="0"/>
                <wp:lineTo x="0" y="0"/>
              </wp:wrapPolygon>
            </wp:wrapTight>
            <wp:docPr id="3" name="Picture 3" descr="Macintosh HD:Users:Rona:Desktop:UTC_DocumentCovers Folder:Final covers:Import Versions:Safegu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na:Desktop:UTC_DocumentCovers Folder:Final covers:Import Versions:Safeguard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anchor>
        </w:drawing>
      </w:r>
    </w:p>
    <w:p>
      <w:pPr>
        <w:jc w:val="both"/>
        <w:rPr>
          <w:b/>
          <w:sz w:val="22"/>
          <w:szCs w:val="22"/>
        </w:rPr>
      </w:pPr>
      <w:r>
        <w:rPr>
          <w:b/>
          <w:sz w:val="22"/>
          <w:szCs w:val="22"/>
        </w:rPr>
        <w:lastRenderedPageBreak/>
        <w:t>Equality and Diversity Statement</w:t>
      </w:r>
    </w:p>
    <w:p>
      <w:pPr>
        <w:jc w:val="both"/>
        <w:rPr>
          <w:sz w:val="22"/>
          <w:szCs w:val="22"/>
        </w:rPr>
      </w:pPr>
    </w:p>
    <w:p>
      <w:pPr>
        <w:jc w:val="both"/>
        <w:rPr>
          <w:sz w:val="22"/>
          <w:szCs w:val="22"/>
        </w:rPr>
      </w:pPr>
      <w:r>
        <w:rPr>
          <w:sz w:val="22"/>
          <w:szCs w:val="22"/>
        </w:rPr>
        <w:t>Lincoln UTC strives to treat all its members and visitors fairly and aims to eliminate unjustifiable discrimination on the grounds of gender, race, nationality, ethnic or national origin, political beliefs or practices, disability, marital status, family circumstances, sexual orientation, spent criminal convictions, age or any other inappropriate grounds.</w:t>
      </w:r>
    </w:p>
    <w:p>
      <w:pPr>
        <w:jc w:val="both"/>
        <w:rPr>
          <w:sz w:val="22"/>
          <w:szCs w:val="22"/>
        </w:rPr>
      </w:pPr>
    </w:p>
    <w:p>
      <w:pPr>
        <w:jc w:val="both"/>
        <w:rPr>
          <w:sz w:val="22"/>
          <w:szCs w:val="22"/>
        </w:rPr>
      </w:pPr>
    </w:p>
    <w:p>
      <w:pPr>
        <w:jc w:val="both"/>
        <w:rPr>
          <w:b/>
          <w:sz w:val="22"/>
          <w:szCs w:val="22"/>
        </w:rPr>
      </w:pPr>
      <w:r>
        <w:rPr>
          <w:b/>
          <w:sz w:val="22"/>
          <w:szCs w:val="22"/>
        </w:rPr>
        <w:t>Policy Review</w:t>
      </w:r>
    </w:p>
    <w:p>
      <w:pPr>
        <w:jc w:val="both"/>
        <w:rPr>
          <w:sz w:val="22"/>
          <w:szCs w:val="22"/>
        </w:rPr>
      </w:pPr>
    </w:p>
    <w:p>
      <w:pPr>
        <w:jc w:val="both"/>
        <w:rPr>
          <w:sz w:val="22"/>
          <w:szCs w:val="22"/>
        </w:rPr>
      </w:pPr>
      <w:r>
        <w:rPr>
          <w:sz w:val="22"/>
          <w:szCs w:val="22"/>
        </w:rPr>
        <w:t xml:space="preserve">Policy Created: </w:t>
      </w:r>
      <w:r>
        <w:rPr>
          <w:sz w:val="22"/>
          <w:szCs w:val="22"/>
        </w:rPr>
        <w:tab/>
        <w:t>Jun 2014</w:t>
      </w:r>
    </w:p>
    <w:p>
      <w:pPr>
        <w:jc w:val="both"/>
        <w:rPr>
          <w:sz w:val="22"/>
          <w:szCs w:val="22"/>
        </w:rPr>
      </w:pPr>
      <w:r>
        <w:rPr>
          <w:sz w:val="22"/>
          <w:szCs w:val="22"/>
        </w:rPr>
        <w:t xml:space="preserve">Policy Reviewed: </w:t>
      </w:r>
      <w:r>
        <w:rPr>
          <w:sz w:val="22"/>
          <w:szCs w:val="22"/>
        </w:rPr>
        <w:tab/>
        <w:t>Jun 2016</w:t>
      </w:r>
    </w:p>
    <w:p>
      <w:pPr>
        <w:jc w:val="both"/>
        <w:rPr>
          <w:sz w:val="22"/>
          <w:szCs w:val="22"/>
        </w:rPr>
      </w:pPr>
      <w:r>
        <w:rPr>
          <w:sz w:val="22"/>
          <w:szCs w:val="22"/>
        </w:rPr>
        <w:t>Policy Reviewed:</w:t>
      </w:r>
      <w:r>
        <w:rPr>
          <w:sz w:val="22"/>
          <w:szCs w:val="22"/>
        </w:rPr>
        <w:tab/>
        <w:t>Sept 2018</w:t>
      </w:r>
    </w:p>
    <w:p>
      <w:pPr>
        <w:jc w:val="both"/>
        <w:rPr>
          <w:sz w:val="22"/>
          <w:szCs w:val="22"/>
        </w:rPr>
      </w:pPr>
      <w:r>
        <w:rPr>
          <w:sz w:val="22"/>
          <w:szCs w:val="22"/>
        </w:rPr>
        <w:t xml:space="preserve">Policy reviewed: </w:t>
      </w:r>
      <w:r>
        <w:rPr>
          <w:sz w:val="22"/>
          <w:szCs w:val="22"/>
        </w:rPr>
        <w:tab/>
        <w:t>Apr 2019</w:t>
      </w:r>
    </w:p>
    <w:p>
      <w:pPr>
        <w:jc w:val="both"/>
        <w:rPr>
          <w:sz w:val="22"/>
          <w:szCs w:val="22"/>
        </w:rPr>
      </w:pPr>
      <w:r>
        <w:rPr>
          <w:sz w:val="22"/>
          <w:szCs w:val="22"/>
        </w:rPr>
        <w:t xml:space="preserve">Next Review: </w:t>
      </w:r>
      <w:r>
        <w:rPr>
          <w:sz w:val="22"/>
          <w:szCs w:val="22"/>
        </w:rPr>
        <w:tab/>
      </w:r>
      <w:r>
        <w:rPr>
          <w:sz w:val="22"/>
          <w:szCs w:val="22"/>
        </w:rPr>
        <w:tab/>
        <w:t>Aug 2020</w:t>
      </w:r>
    </w:p>
    <w:p>
      <w:pPr>
        <w:pStyle w:val="PlainText"/>
        <w:jc w:val="both"/>
        <w:rPr>
          <w:rFonts w:ascii="Arial" w:hAnsi="Arial" w:cs="Arial"/>
          <w:sz w:val="22"/>
          <w:szCs w:val="22"/>
        </w:rPr>
      </w:pPr>
    </w:p>
    <w:p>
      <w:pPr>
        <w:pStyle w:val="PlainText"/>
        <w:jc w:val="both"/>
        <w:rPr>
          <w:rFonts w:ascii="Arial" w:hAnsi="Arial" w:cs="Arial"/>
          <w:sz w:val="22"/>
          <w:szCs w:val="22"/>
        </w:rPr>
      </w:pPr>
    </w:p>
    <w:p>
      <w:pPr>
        <w:jc w:val="both"/>
        <w:rPr>
          <w:sz w:val="22"/>
          <w:szCs w:val="22"/>
        </w:rPr>
      </w:pPr>
    </w:p>
    <w:p>
      <w:pPr>
        <w:jc w:val="both"/>
        <w:rPr>
          <w:sz w:val="22"/>
          <w:szCs w:val="22"/>
        </w:rPr>
      </w:pPr>
    </w:p>
    <w:p>
      <w:pPr>
        <w:pStyle w:val="PlainText"/>
        <w:jc w:val="both"/>
        <w:rPr>
          <w:rFonts w:ascii="Arial" w:hAnsi="Arial" w:cs="Arial"/>
          <w:sz w:val="22"/>
          <w:szCs w:val="22"/>
        </w:rPr>
      </w:pPr>
    </w:p>
    <w:p>
      <w:pPr>
        <w:pStyle w:val="PlainText"/>
        <w:jc w:val="both"/>
        <w:rPr>
          <w:rFonts w:ascii="Arial" w:hAnsi="Arial" w:cs="Arial"/>
          <w:b/>
          <w:caps/>
          <w:sz w:val="22"/>
          <w:szCs w:val="22"/>
        </w:rPr>
      </w:pPr>
      <w:r>
        <w:rPr>
          <w:rFonts w:ascii="Arial" w:hAnsi="Arial" w:cs="Arial"/>
          <w:sz w:val="22"/>
          <w:szCs w:val="22"/>
        </w:rPr>
        <w:br w:type="page"/>
      </w:r>
      <w:r>
        <w:rPr>
          <w:rFonts w:ascii="Arial" w:hAnsi="Arial" w:cs="Arial"/>
          <w:b/>
          <w:caps/>
          <w:sz w:val="22"/>
          <w:szCs w:val="22"/>
        </w:rPr>
        <w:lastRenderedPageBreak/>
        <w:t>Lincoln UTC</w:t>
      </w:r>
    </w:p>
    <w:p>
      <w:pPr>
        <w:pStyle w:val="PlainText"/>
        <w:jc w:val="both"/>
        <w:rPr>
          <w:rFonts w:ascii="Arial" w:hAnsi="Arial" w:cs="Arial"/>
          <w:b/>
          <w:caps/>
          <w:sz w:val="22"/>
          <w:szCs w:val="22"/>
        </w:rPr>
      </w:pPr>
    </w:p>
    <w:p>
      <w:pPr>
        <w:pStyle w:val="PlainText"/>
        <w:jc w:val="both"/>
        <w:rPr>
          <w:rFonts w:ascii="Arial" w:hAnsi="Arial" w:cs="Arial"/>
          <w:b/>
          <w:caps/>
          <w:sz w:val="22"/>
          <w:szCs w:val="22"/>
        </w:rPr>
      </w:pPr>
      <w:r>
        <w:rPr>
          <w:rFonts w:ascii="Arial" w:hAnsi="Arial" w:cs="Arial"/>
          <w:b/>
          <w:caps/>
          <w:sz w:val="22"/>
          <w:szCs w:val="22"/>
        </w:rPr>
        <w:t>Safeguarding &amp; CHILD Protection Policy</w:t>
      </w:r>
    </w:p>
    <w:p>
      <w:pPr>
        <w:pStyle w:val="PlainText"/>
        <w:jc w:val="both"/>
        <w:rPr>
          <w:rFonts w:ascii="Arial" w:hAnsi="Arial" w:cs="Arial"/>
          <w:b/>
          <w:caps/>
          <w:sz w:val="22"/>
          <w:szCs w:val="22"/>
        </w:rPr>
      </w:pPr>
    </w:p>
    <w:p>
      <w:pPr>
        <w:pStyle w:val="PlainText"/>
        <w:jc w:val="both"/>
        <w:rPr>
          <w:rFonts w:ascii="Arial" w:hAnsi="Arial" w:cs="Arial"/>
          <w:caps/>
          <w:sz w:val="22"/>
          <w:szCs w:val="22"/>
        </w:rPr>
      </w:pPr>
      <w:r>
        <w:rPr>
          <w:rFonts w:ascii="Arial" w:hAnsi="Arial" w:cs="Arial"/>
          <w:b/>
          <w:caps/>
          <w:sz w:val="22"/>
          <w:szCs w:val="22"/>
        </w:rPr>
        <w:t>CONTENTS</w:t>
      </w:r>
    </w:p>
    <w:p>
      <w:pPr>
        <w:pStyle w:val="PlainText"/>
        <w:spacing w:before="120" w:after="120"/>
        <w:jc w:val="both"/>
        <w:rPr>
          <w:rFonts w:ascii="Arial" w:hAnsi="Arial" w:cs="Arial"/>
          <w:caps/>
          <w:sz w:val="22"/>
          <w:szCs w:val="22"/>
        </w:rPr>
      </w:pPr>
    </w:p>
    <w:tbl>
      <w:tblPr>
        <w:tblW w:w="0" w:type="auto"/>
        <w:tblLook w:val="01E0" w:firstRow="1" w:lastRow="1" w:firstColumn="1" w:lastColumn="1" w:noHBand="0" w:noVBand="0"/>
      </w:tblPr>
      <w:tblGrid>
        <w:gridCol w:w="1190"/>
        <w:gridCol w:w="5462"/>
        <w:gridCol w:w="2374"/>
      </w:tblGrid>
      <w:tr>
        <w:tc>
          <w:tcPr>
            <w:tcW w:w="1190" w:type="dxa"/>
            <w:shd w:val="clear" w:color="auto" w:fill="auto"/>
          </w:tcPr>
          <w:p>
            <w:pPr>
              <w:pStyle w:val="PlainText"/>
              <w:spacing w:before="120" w:after="120"/>
              <w:jc w:val="both"/>
              <w:rPr>
                <w:rFonts w:ascii="Arial" w:hAnsi="Arial" w:cs="Arial"/>
                <w:b/>
                <w:sz w:val="22"/>
                <w:szCs w:val="22"/>
              </w:rPr>
            </w:pPr>
            <w:r>
              <w:rPr>
                <w:rFonts w:ascii="Arial" w:hAnsi="Arial" w:cs="Arial"/>
                <w:b/>
                <w:sz w:val="22"/>
                <w:szCs w:val="22"/>
              </w:rPr>
              <w:t>Para</w:t>
            </w:r>
          </w:p>
        </w:tc>
        <w:tc>
          <w:tcPr>
            <w:tcW w:w="5462" w:type="dxa"/>
            <w:shd w:val="clear" w:color="auto" w:fill="auto"/>
          </w:tcPr>
          <w:p>
            <w:pPr>
              <w:pStyle w:val="PlainText"/>
              <w:spacing w:before="120" w:after="120"/>
              <w:jc w:val="both"/>
              <w:rPr>
                <w:rFonts w:ascii="Arial" w:hAnsi="Arial" w:cs="Arial"/>
                <w:b/>
                <w:sz w:val="22"/>
                <w:szCs w:val="22"/>
              </w:rPr>
            </w:pPr>
            <w:r>
              <w:rPr>
                <w:rFonts w:ascii="Arial" w:hAnsi="Arial" w:cs="Arial"/>
                <w:b/>
                <w:sz w:val="22"/>
                <w:szCs w:val="22"/>
              </w:rPr>
              <w:t>Contents</w:t>
            </w:r>
          </w:p>
        </w:tc>
        <w:tc>
          <w:tcPr>
            <w:tcW w:w="2374" w:type="dxa"/>
            <w:shd w:val="clear" w:color="auto" w:fill="auto"/>
          </w:tcPr>
          <w:p>
            <w:pPr>
              <w:pStyle w:val="PlainText"/>
              <w:spacing w:before="120" w:after="120"/>
              <w:jc w:val="center"/>
              <w:rPr>
                <w:rFonts w:ascii="Arial" w:hAnsi="Arial" w:cs="Arial"/>
                <w:b/>
                <w:sz w:val="22"/>
                <w:szCs w:val="22"/>
              </w:rPr>
            </w:pPr>
            <w:r>
              <w:rPr>
                <w:rFonts w:ascii="Arial" w:hAnsi="Arial" w:cs="Arial"/>
                <w:b/>
                <w:sz w:val="22"/>
                <w:szCs w:val="22"/>
              </w:rPr>
              <w:t>Page Number</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1</w:t>
            </w:r>
          </w:p>
        </w:tc>
        <w:tc>
          <w:tcPr>
            <w:tcW w:w="5462"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 xml:space="preserve">Introduction </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4</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2</w:t>
            </w:r>
          </w:p>
        </w:tc>
        <w:tc>
          <w:tcPr>
            <w:tcW w:w="5462"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 xml:space="preserve">Key Contacts </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6</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3</w:t>
            </w:r>
          </w:p>
        </w:tc>
        <w:tc>
          <w:tcPr>
            <w:tcW w:w="5462"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Aim</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7</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4</w:t>
            </w:r>
          </w:p>
        </w:tc>
        <w:tc>
          <w:tcPr>
            <w:tcW w:w="5462"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Definitions of abuse</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7</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5</w:t>
            </w:r>
          </w:p>
        </w:tc>
        <w:tc>
          <w:tcPr>
            <w:tcW w:w="5462"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Underpinning values</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10</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6</w:t>
            </w:r>
          </w:p>
        </w:tc>
        <w:tc>
          <w:tcPr>
            <w:tcW w:w="5462"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Supporting young people at risk</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11</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7</w:t>
            </w:r>
          </w:p>
        </w:tc>
        <w:tc>
          <w:tcPr>
            <w:tcW w:w="5462"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Designated staff with responsibility for safeguarding</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13</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8</w:t>
            </w:r>
          </w:p>
        </w:tc>
        <w:tc>
          <w:tcPr>
            <w:tcW w:w="5462" w:type="dxa"/>
            <w:shd w:val="clear" w:color="auto" w:fill="auto"/>
          </w:tcPr>
          <w:p>
            <w:pPr>
              <w:pStyle w:val="PlainText"/>
              <w:spacing w:before="120" w:after="120"/>
              <w:rPr>
                <w:rFonts w:ascii="Arial" w:hAnsi="Arial" w:cs="Arial"/>
                <w:sz w:val="22"/>
                <w:szCs w:val="22"/>
              </w:rPr>
            </w:pPr>
            <w:r>
              <w:rPr>
                <w:rFonts w:ascii="Arial" w:hAnsi="Arial" w:cs="Arial"/>
                <w:sz w:val="22"/>
                <w:szCs w:val="22"/>
              </w:rPr>
              <w:t>Referrals</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16</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9</w:t>
            </w:r>
          </w:p>
        </w:tc>
        <w:tc>
          <w:tcPr>
            <w:tcW w:w="5462" w:type="dxa"/>
            <w:shd w:val="clear" w:color="auto" w:fill="auto"/>
          </w:tcPr>
          <w:p>
            <w:pPr>
              <w:pStyle w:val="PlainText"/>
              <w:spacing w:before="120" w:after="120"/>
              <w:rPr>
                <w:rFonts w:ascii="Arial" w:hAnsi="Arial" w:cs="Arial"/>
                <w:sz w:val="22"/>
                <w:szCs w:val="22"/>
              </w:rPr>
            </w:pPr>
            <w:r>
              <w:rPr>
                <w:rFonts w:ascii="Arial" w:hAnsi="Arial" w:cs="Arial"/>
                <w:sz w:val="22"/>
                <w:szCs w:val="22"/>
              </w:rPr>
              <w:t xml:space="preserve">Dealing with disclosure of abuse and procedure for reporting concerns </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17</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10</w:t>
            </w:r>
          </w:p>
        </w:tc>
        <w:tc>
          <w:tcPr>
            <w:tcW w:w="5462" w:type="dxa"/>
            <w:shd w:val="clear" w:color="auto" w:fill="auto"/>
          </w:tcPr>
          <w:p>
            <w:pPr>
              <w:pStyle w:val="PlainText"/>
              <w:spacing w:before="120" w:after="120"/>
              <w:rPr>
                <w:rFonts w:ascii="Arial" w:hAnsi="Arial" w:cs="Arial"/>
                <w:sz w:val="22"/>
                <w:szCs w:val="22"/>
              </w:rPr>
            </w:pPr>
            <w:r>
              <w:rPr>
                <w:rFonts w:ascii="Arial" w:hAnsi="Arial" w:cs="Arial"/>
                <w:sz w:val="22"/>
                <w:szCs w:val="22"/>
              </w:rPr>
              <w:t>Prevent Agenda Policy</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17</w:t>
            </w:r>
          </w:p>
        </w:tc>
      </w:tr>
      <w:tr>
        <w:tc>
          <w:tcPr>
            <w:tcW w:w="1190" w:type="dxa"/>
            <w:shd w:val="clear" w:color="auto" w:fill="auto"/>
          </w:tcPr>
          <w:p>
            <w:pPr>
              <w:pStyle w:val="PlainText"/>
              <w:spacing w:before="120" w:after="120"/>
              <w:jc w:val="both"/>
              <w:rPr>
                <w:rFonts w:ascii="Arial" w:hAnsi="Arial" w:cs="Arial"/>
                <w:sz w:val="22"/>
                <w:szCs w:val="22"/>
              </w:rPr>
            </w:pPr>
            <w:r>
              <w:rPr>
                <w:rFonts w:ascii="Arial" w:hAnsi="Arial" w:cs="Arial"/>
                <w:sz w:val="22"/>
                <w:szCs w:val="22"/>
              </w:rPr>
              <w:t>11</w:t>
            </w:r>
          </w:p>
        </w:tc>
        <w:tc>
          <w:tcPr>
            <w:tcW w:w="5462" w:type="dxa"/>
            <w:shd w:val="clear" w:color="auto" w:fill="auto"/>
          </w:tcPr>
          <w:p>
            <w:pPr>
              <w:pStyle w:val="PlainText"/>
              <w:spacing w:before="120" w:after="120"/>
              <w:rPr>
                <w:rFonts w:ascii="Arial" w:hAnsi="Arial" w:cs="Arial"/>
                <w:sz w:val="22"/>
                <w:szCs w:val="22"/>
              </w:rPr>
            </w:pPr>
            <w:r>
              <w:rPr>
                <w:rFonts w:ascii="Arial" w:hAnsi="Arial" w:cs="Arial"/>
                <w:sz w:val="22"/>
                <w:szCs w:val="22"/>
              </w:rPr>
              <w:t>Appendices:  Safe Operating Procedures (SG SOP)</w:t>
            </w:r>
          </w:p>
        </w:tc>
        <w:tc>
          <w:tcPr>
            <w:tcW w:w="2374" w:type="dxa"/>
            <w:shd w:val="clear" w:color="auto" w:fill="auto"/>
          </w:tcPr>
          <w:p>
            <w:pPr>
              <w:pStyle w:val="PlainText"/>
              <w:spacing w:before="120" w:after="120"/>
              <w:jc w:val="center"/>
              <w:rPr>
                <w:rFonts w:ascii="Arial" w:hAnsi="Arial" w:cs="Arial"/>
                <w:sz w:val="22"/>
                <w:szCs w:val="22"/>
              </w:rPr>
            </w:pPr>
          </w:p>
        </w:tc>
      </w:tr>
      <w:tr>
        <w:tc>
          <w:tcPr>
            <w:tcW w:w="1190" w:type="dxa"/>
            <w:shd w:val="clear" w:color="auto" w:fill="auto"/>
          </w:tcPr>
          <w:p>
            <w:pPr>
              <w:pStyle w:val="PlainText"/>
              <w:spacing w:before="120" w:after="120"/>
              <w:jc w:val="both"/>
              <w:rPr>
                <w:rFonts w:ascii="Arial" w:hAnsi="Arial" w:cs="Arial"/>
                <w:sz w:val="22"/>
                <w:szCs w:val="22"/>
              </w:rPr>
            </w:pPr>
          </w:p>
        </w:tc>
        <w:tc>
          <w:tcPr>
            <w:tcW w:w="5462" w:type="dxa"/>
            <w:shd w:val="clear" w:color="auto" w:fill="auto"/>
          </w:tcPr>
          <w:p>
            <w:pPr>
              <w:pStyle w:val="PlainText"/>
              <w:spacing w:before="120" w:after="120"/>
              <w:rPr>
                <w:rFonts w:ascii="Arial" w:hAnsi="Arial" w:cs="Arial"/>
                <w:sz w:val="22"/>
                <w:szCs w:val="22"/>
              </w:rPr>
            </w:pPr>
            <w:r>
              <w:rPr>
                <w:rFonts w:ascii="Arial" w:hAnsi="Arial" w:cs="Arial"/>
                <w:sz w:val="22"/>
                <w:szCs w:val="22"/>
              </w:rPr>
              <w:t>SG SOP 1:  Dealing with initial disclosure by a young person</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22</w:t>
            </w:r>
          </w:p>
        </w:tc>
      </w:tr>
      <w:tr>
        <w:tc>
          <w:tcPr>
            <w:tcW w:w="1190" w:type="dxa"/>
            <w:shd w:val="clear" w:color="auto" w:fill="auto"/>
          </w:tcPr>
          <w:p>
            <w:pPr>
              <w:pStyle w:val="PlainText"/>
              <w:spacing w:before="120" w:after="120"/>
              <w:jc w:val="both"/>
              <w:rPr>
                <w:rFonts w:ascii="Arial" w:hAnsi="Arial" w:cs="Arial"/>
                <w:sz w:val="22"/>
                <w:szCs w:val="22"/>
              </w:rPr>
            </w:pPr>
          </w:p>
        </w:tc>
        <w:tc>
          <w:tcPr>
            <w:tcW w:w="5462" w:type="dxa"/>
            <w:shd w:val="clear" w:color="auto" w:fill="auto"/>
          </w:tcPr>
          <w:p>
            <w:pPr>
              <w:jc w:val="both"/>
              <w:rPr>
                <w:sz w:val="22"/>
                <w:szCs w:val="22"/>
              </w:rPr>
            </w:pPr>
            <w:r>
              <w:rPr>
                <w:sz w:val="22"/>
                <w:szCs w:val="22"/>
              </w:rPr>
              <w:t>SG SOP 2:  Raising concerns about a young person with the Designated Safeguarding Lead or Deputy Safeguarding Lead</w:t>
            </w:r>
          </w:p>
          <w:p>
            <w:pPr>
              <w:jc w:val="both"/>
              <w:rPr>
                <w:sz w:val="22"/>
                <w:szCs w:val="22"/>
              </w:rPr>
            </w:pP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24</w:t>
            </w:r>
          </w:p>
        </w:tc>
      </w:tr>
      <w:tr>
        <w:tc>
          <w:tcPr>
            <w:tcW w:w="1190" w:type="dxa"/>
            <w:shd w:val="clear" w:color="auto" w:fill="auto"/>
          </w:tcPr>
          <w:p>
            <w:pPr>
              <w:pStyle w:val="PlainText"/>
              <w:spacing w:before="120" w:after="120"/>
              <w:jc w:val="both"/>
              <w:rPr>
                <w:rFonts w:ascii="Arial" w:hAnsi="Arial" w:cs="Arial"/>
                <w:sz w:val="22"/>
                <w:szCs w:val="22"/>
              </w:rPr>
            </w:pPr>
          </w:p>
        </w:tc>
        <w:tc>
          <w:tcPr>
            <w:tcW w:w="5462" w:type="dxa"/>
            <w:shd w:val="clear" w:color="auto" w:fill="auto"/>
          </w:tcPr>
          <w:p>
            <w:pPr>
              <w:pStyle w:val="PlainText"/>
              <w:jc w:val="both"/>
              <w:rPr>
                <w:rFonts w:ascii="Arial" w:hAnsi="Arial" w:cs="Arial"/>
                <w:sz w:val="22"/>
                <w:szCs w:val="22"/>
              </w:rPr>
            </w:pPr>
            <w:r>
              <w:rPr>
                <w:rFonts w:ascii="Arial" w:hAnsi="Arial" w:cs="Arial"/>
                <w:sz w:val="22"/>
                <w:szCs w:val="22"/>
              </w:rPr>
              <w:t>SG SOP 3:  Referral to Designated Safeguarding Lead for allegations of abuse against a member of staff</w:t>
            </w:r>
          </w:p>
          <w:p>
            <w:pPr>
              <w:pStyle w:val="PlainText"/>
              <w:jc w:val="both"/>
              <w:rPr>
                <w:rFonts w:ascii="Arial" w:hAnsi="Arial" w:cs="Arial"/>
                <w:sz w:val="22"/>
                <w:szCs w:val="22"/>
              </w:rPr>
            </w:pP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27</w:t>
            </w:r>
          </w:p>
        </w:tc>
      </w:tr>
      <w:tr>
        <w:tc>
          <w:tcPr>
            <w:tcW w:w="1190" w:type="dxa"/>
            <w:shd w:val="clear" w:color="auto" w:fill="auto"/>
          </w:tcPr>
          <w:p>
            <w:pPr>
              <w:pStyle w:val="PlainText"/>
              <w:spacing w:before="120" w:after="120"/>
              <w:jc w:val="both"/>
              <w:rPr>
                <w:rFonts w:ascii="Arial" w:hAnsi="Arial" w:cs="Arial"/>
                <w:sz w:val="22"/>
                <w:szCs w:val="22"/>
              </w:rPr>
            </w:pPr>
          </w:p>
        </w:tc>
        <w:tc>
          <w:tcPr>
            <w:tcW w:w="5462" w:type="dxa"/>
            <w:shd w:val="clear" w:color="auto" w:fill="auto"/>
          </w:tcPr>
          <w:p>
            <w:pPr>
              <w:pStyle w:val="PlainText"/>
              <w:jc w:val="both"/>
              <w:rPr>
                <w:rFonts w:ascii="Arial" w:hAnsi="Arial" w:cs="Arial"/>
                <w:sz w:val="22"/>
                <w:szCs w:val="22"/>
              </w:rPr>
            </w:pPr>
            <w:r>
              <w:rPr>
                <w:rFonts w:ascii="Arial" w:hAnsi="Arial" w:cs="Arial"/>
                <w:sz w:val="22"/>
                <w:szCs w:val="22"/>
              </w:rPr>
              <w:t>SG SOP 4:  Referral to Designated Safeguarding Lead for allegations of abuse against another student</w:t>
            </w:r>
          </w:p>
          <w:p>
            <w:pPr>
              <w:pStyle w:val="PlainText"/>
              <w:jc w:val="both"/>
              <w:rPr>
                <w:rFonts w:ascii="Arial" w:hAnsi="Arial" w:cs="Arial"/>
                <w:sz w:val="22"/>
                <w:szCs w:val="22"/>
              </w:rPr>
            </w:pPr>
          </w:p>
          <w:p>
            <w:pPr>
              <w:pStyle w:val="PlainText"/>
              <w:rPr>
                <w:rFonts w:ascii="Arial" w:hAnsi="Arial" w:cs="Arial"/>
                <w:sz w:val="22"/>
                <w:szCs w:val="22"/>
              </w:rPr>
            </w:pPr>
            <w:r>
              <w:rPr>
                <w:rFonts w:ascii="Arial" w:hAnsi="Arial" w:cs="Arial"/>
                <w:sz w:val="22"/>
                <w:szCs w:val="22"/>
              </w:rPr>
              <w:t>SG SOP 5:  Procedures for referrals under the PREVENT agenda</w:t>
            </w:r>
          </w:p>
          <w:p>
            <w:pPr>
              <w:pStyle w:val="PlainText"/>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SG SOP 6:  Children Missing from Education</w:t>
            </w:r>
          </w:p>
          <w:p>
            <w:pPr>
              <w:pStyle w:val="PlainText"/>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Further information on Child Sexual Exploitation and Female Genital Mutilation</w:t>
            </w:r>
          </w:p>
        </w:tc>
        <w:tc>
          <w:tcPr>
            <w:tcW w:w="2374" w:type="dxa"/>
            <w:shd w:val="clear" w:color="auto" w:fill="auto"/>
          </w:tcPr>
          <w:p>
            <w:pPr>
              <w:pStyle w:val="PlainText"/>
              <w:spacing w:before="120" w:after="120"/>
              <w:jc w:val="center"/>
              <w:rPr>
                <w:rFonts w:ascii="Arial" w:hAnsi="Arial" w:cs="Arial"/>
                <w:sz w:val="22"/>
                <w:szCs w:val="22"/>
              </w:rPr>
            </w:pPr>
            <w:r>
              <w:rPr>
                <w:rFonts w:ascii="Arial" w:hAnsi="Arial" w:cs="Arial"/>
                <w:sz w:val="22"/>
                <w:szCs w:val="22"/>
              </w:rPr>
              <w:t>27</w:t>
            </w:r>
          </w:p>
          <w:p>
            <w:pPr>
              <w:rPr>
                <w:sz w:val="22"/>
                <w:szCs w:val="22"/>
              </w:rPr>
            </w:pPr>
          </w:p>
          <w:p>
            <w:pPr>
              <w:jc w:val="center"/>
              <w:rPr>
                <w:sz w:val="22"/>
                <w:szCs w:val="22"/>
              </w:rPr>
            </w:pPr>
            <w:r>
              <w:rPr>
                <w:sz w:val="22"/>
                <w:szCs w:val="22"/>
              </w:rPr>
              <w:t>28</w:t>
            </w:r>
          </w:p>
          <w:p>
            <w:pPr>
              <w:rPr>
                <w:sz w:val="22"/>
                <w:szCs w:val="22"/>
              </w:rPr>
            </w:pPr>
          </w:p>
          <w:p>
            <w:pPr>
              <w:rPr>
                <w:sz w:val="22"/>
                <w:szCs w:val="22"/>
              </w:rPr>
            </w:pPr>
          </w:p>
          <w:p>
            <w:pPr>
              <w:jc w:val="center"/>
              <w:rPr>
                <w:sz w:val="22"/>
                <w:szCs w:val="22"/>
              </w:rPr>
            </w:pPr>
            <w:r>
              <w:rPr>
                <w:sz w:val="22"/>
                <w:szCs w:val="22"/>
              </w:rPr>
              <w:t>32</w:t>
            </w:r>
          </w:p>
          <w:p>
            <w:pPr>
              <w:rPr>
                <w:sz w:val="22"/>
                <w:szCs w:val="22"/>
              </w:rPr>
            </w:pPr>
          </w:p>
          <w:p>
            <w:pPr>
              <w:jc w:val="center"/>
              <w:rPr>
                <w:sz w:val="22"/>
                <w:szCs w:val="22"/>
              </w:rPr>
            </w:pPr>
            <w:r>
              <w:rPr>
                <w:sz w:val="22"/>
                <w:szCs w:val="22"/>
              </w:rPr>
              <w:t>33</w:t>
            </w:r>
          </w:p>
          <w:p>
            <w:pPr>
              <w:rPr>
                <w:sz w:val="22"/>
                <w:szCs w:val="22"/>
              </w:rPr>
            </w:pPr>
          </w:p>
          <w:p>
            <w:pPr>
              <w:jc w:val="center"/>
              <w:rPr>
                <w:sz w:val="22"/>
                <w:szCs w:val="22"/>
              </w:rPr>
            </w:pPr>
          </w:p>
        </w:tc>
      </w:tr>
      <w:tr>
        <w:tc>
          <w:tcPr>
            <w:tcW w:w="1190" w:type="dxa"/>
            <w:shd w:val="clear" w:color="auto" w:fill="auto"/>
          </w:tcPr>
          <w:p>
            <w:pPr>
              <w:pStyle w:val="PlainText"/>
              <w:spacing w:before="120" w:after="120"/>
              <w:jc w:val="both"/>
              <w:rPr>
                <w:rFonts w:ascii="Arial" w:hAnsi="Arial" w:cs="Arial"/>
                <w:sz w:val="22"/>
                <w:szCs w:val="22"/>
              </w:rPr>
            </w:pPr>
          </w:p>
        </w:tc>
        <w:tc>
          <w:tcPr>
            <w:tcW w:w="5462" w:type="dxa"/>
            <w:shd w:val="clear" w:color="auto" w:fill="auto"/>
          </w:tcPr>
          <w:p>
            <w:pPr>
              <w:pStyle w:val="PlainText"/>
              <w:jc w:val="both"/>
              <w:rPr>
                <w:rFonts w:ascii="Arial" w:hAnsi="Arial" w:cs="Arial"/>
                <w:sz w:val="22"/>
                <w:szCs w:val="22"/>
              </w:rPr>
            </w:pPr>
          </w:p>
        </w:tc>
        <w:tc>
          <w:tcPr>
            <w:tcW w:w="2374" w:type="dxa"/>
            <w:shd w:val="clear" w:color="auto" w:fill="auto"/>
          </w:tcPr>
          <w:p>
            <w:pPr>
              <w:pStyle w:val="PlainText"/>
              <w:spacing w:before="120" w:after="120"/>
              <w:jc w:val="center"/>
              <w:rPr>
                <w:rFonts w:ascii="Arial" w:hAnsi="Arial" w:cs="Arial"/>
                <w:sz w:val="22"/>
                <w:szCs w:val="22"/>
              </w:rPr>
            </w:pPr>
          </w:p>
        </w:tc>
      </w:tr>
    </w:tbl>
    <w:p>
      <w:pPr>
        <w:pStyle w:val="PlainText"/>
        <w:spacing w:before="120" w:after="120"/>
        <w:jc w:val="both"/>
        <w:rPr>
          <w:rFonts w:ascii="Arial" w:hAnsi="Arial" w:cs="Arial"/>
          <w:sz w:val="22"/>
          <w:szCs w:val="22"/>
        </w:rPr>
        <w:sectPr>
          <w:footerReference w:type="even" r:id="rId9"/>
          <w:footerReference w:type="default" r:id="rId10"/>
          <w:pgSz w:w="11906" w:h="16838"/>
          <w:pgMar w:top="720" w:right="1440" w:bottom="720" w:left="1440" w:header="706" w:footer="706" w:gutter="0"/>
          <w:cols w:space="708"/>
          <w:titlePg/>
          <w:docGrid w:linePitch="360"/>
        </w:sectPr>
      </w:pPr>
    </w:p>
    <w:p>
      <w:pPr>
        <w:pStyle w:val="PlainText"/>
        <w:jc w:val="both"/>
        <w:rPr>
          <w:rFonts w:ascii="Arial" w:hAnsi="Arial" w:cs="Arial"/>
          <w:b/>
          <w:caps/>
          <w:sz w:val="22"/>
          <w:szCs w:val="22"/>
        </w:rPr>
      </w:pPr>
      <w:r>
        <w:rPr>
          <w:rFonts w:ascii="Arial" w:hAnsi="Arial" w:cs="Arial"/>
          <w:b/>
          <w:caps/>
          <w:sz w:val="22"/>
          <w:szCs w:val="22"/>
        </w:rPr>
        <w:lastRenderedPageBreak/>
        <w:t>Lincoln UTC</w:t>
      </w:r>
    </w:p>
    <w:p>
      <w:pPr>
        <w:pStyle w:val="PlainText"/>
        <w:jc w:val="both"/>
        <w:rPr>
          <w:rFonts w:ascii="Arial" w:hAnsi="Arial" w:cs="Arial"/>
          <w:b/>
          <w:caps/>
          <w:sz w:val="22"/>
          <w:szCs w:val="22"/>
        </w:rPr>
      </w:pPr>
    </w:p>
    <w:p>
      <w:pPr>
        <w:pStyle w:val="PlainText"/>
        <w:jc w:val="both"/>
        <w:rPr>
          <w:rFonts w:ascii="Arial" w:hAnsi="Arial" w:cs="Arial"/>
          <w:b/>
          <w:caps/>
          <w:sz w:val="22"/>
          <w:szCs w:val="22"/>
        </w:rPr>
      </w:pPr>
      <w:r>
        <w:rPr>
          <w:rFonts w:ascii="Arial" w:hAnsi="Arial" w:cs="Arial"/>
          <w:b/>
          <w:caps/>
          <w:sz w:val="22"/>
          <w:szCs w:val="22"/>
        </w:rPr>
        <w:t>Safeguarding &amp; CHILD Protection Policy</w:t>
      </w:r>
    </w:p>
    <w:p>
      <w:pPr>
        <w:pStyle w:val="PlainText"/>
        <w:jc w:val="both"/>
        <w:rPr>
          <w:rFonts w:ascii="Arial" w:hAnsi="Arial" w:cs="Arial"/>
          <w:caps/>
          <w:sz w:val="22"/>
          <w:szCs w:val="22"/>
        </w:rPr>
      </w:pPr>
    </w:p>
    <w:p>
      <w:pPr>
        <w:pStyle w:val="PlainText"/>
        <w:jc w:val="both"/>
        <w:rPr>
          <w:rFonts w:ascii="Arial" w:hAnsi="Arial" w:cs="Arial"/>
          <w:b/>
          <w:sz w:val="22"/>
          <w:szCs w:val="22"/>
        </w:rPr>
      </w:pPr>
      <w:r>
        <w:rPr>
          <w:rFonts w:ascii="Arial" w:hAnsi="Arial" w:cs="Arial"/>
          <w:b/>
          <w:caps/>
          <w:sz w:val="22"/>
          <w:szCs w:val="22"/>
        </w:rPr>
        <w:t>1. introduction</w:t>
      </w:r>
    </w:p>
    <w:p>
      <w:pPr>
        <w:pStyle w:val="PlainText"/>
        <w:ind w:left="720"/>
        <w:jc w:val="both"/>
        <w:rPr>
          <w:rFonts w:ascii="Arial" w:hAnsi="Arial" w:cs="Arial"/>
          <w:b/>
          <w:sz w:val="22"/>
          <w:szCs w:val="22"/>
        </w:rPr>
      </w:pPr>
    </w:p>
    <w:p>
      <w:pPr>
        <w:pStyle w:val="PlainText"/>
        <w:jc w:val="both"/>
        <w:rPr>
          <w:rFonts w:ascii="Arial" w:hAnsi="Arial" w:cs="Arial"/>
          <w:sz w:val="22"/>
          <w:szCs w:val="22"/>
        </w:rPr>
      </w:pPr>
      <w:r>
        <w:rPr>
          <w:rFonts w:ascii="Arial" w:hAnsi="Arial" w:cs="Arial"/>
          <w:sz w:val="22"/>
          <w:szCs w:val="22"/>
        </w:rPr>
        <w:t>Lincoln UTC has a statutory duty to ensure that all young people are safe.  Lincoln UTC will promote the safeguarding and welfare of all young people in accordance with the Young Children’s Act 1989 and the Children’s Act 2004 and section 175 of the Education Act 2002. This policy has been written following guidance within “Working Together to Safeguard Young Children” March 2013, produced by HM Government and the ‘Keeping Children Safe in Education’ guidance produced in September 2016 by HM Government.</w:t>
      </w:r>
    </w:p>
    <w:p>
      <w:pPr>
        <w:rPr>
          <w:b/>
          <w:sz w:val="22"/>
          <w:szCs w:val="22"/>
        </w:rPr>
      </w:pPr>
    </w:p>
    <w:p>
      <w:pPr>
        <w:rPr>
          <w:b/>
          <w:sz w:val="22"/>
          <w:szCs w:val="22"/>
        </w:rPr>
      </w:pPr>
      <w:r>
        <w:rPr>
          <w:b/>
          <w:sz w:val="22"/>
          <w:szCs w:val="22"/>
        </w:rPr>
        <w:t>This Safeguarding Child Protection Policy should not be read in isolation but in conjunction with other documents and procedures including but not limited to:</w:t>
      </w:r>
    </w:p>
    <w:p>
      <w:pPr>
        <w:pStyle w:val="ListParagraph"/>
        <w:numPr>
          <w:ilvl w:val="0"/>
          <w:numId w:val="43"/>
        </w:numPr>
        <w:rPr>
          <w:sz w:val="22"/>
          <w:szCs w:val="22"/>
        </w:rPr>
      </w:pPr>
      <w:r>
        <w:rPr>
          <w:sz w:val="22"/>
          <w:szCs w:val="22"/>
        </w:rPr>
        <w:t>Equality and Diversity Policy</w:t>
      </w:r>
    </w:p>
    <w:p>
      <w:pPr>
        <w:pStyle w:val="ListParagraph"/>
        <w:numPr>
          <w:ilvl w:val="0"/>
          <w:numId w:val="32"/>
        </w:numPr>
        <w:rPr>
          <w:sz w:val="22"/>
          <w:szCs w:val="22"/>
        </w:rPr>
      </w:pPr>
      <w:r>
        <w:rPr>
          <w:sz w:val="22"/>
          <w:szCs w:val="22"/>
        </w:rPr>
        <w:t>Anti-bullying and Harassment of Students Policy</w:t>
      </w:r>
    </w:p>
    <w:p>
      <w:pPr>
        <w:pStyle w:val="ListParagraph"/>
        <w:numPr>
          <w:ilvl w:val="0"/>
          <w:numId w:val="32"/>
        </w:numPr>
        <w:rPr>
          <w:sz w:val="22"/>
          <w:szCs w:val="22"/>
        </w:rPr>
      </w:pPr>
      <w:r>
        <w:rPr>
          <w:sz w:val="22"/>
          <w:szCs w:val="22"/>
        </w:rPr>
        <w:t>Behaviour Policy 2016</w:t>
      </w:r>
    </w:p>
    <w:p>
      <w:pPr>
        <w:pStyle w:val="ListParagraph"/>
        <w:numPr>
          <w:ilvl w:val="0"/>
          <w:numId w:val="32"/>
        </w:numPr>
        <w:rPr>
          <w:sz w:val="22"/>
          <w:szCs w:val="22"/>
        </w:rPr>
      </w:pPr>
      <w:r>
        <w:rPr>
          <w:sz w:val="22"/>
          <w:szCs w:val="22"/>
        </w:rPr>
        <w:t>E Safety Policy</w:t>
      </w:r>
    </w:p>
    <w:p>
      <w:pPr>
        <w:pStyle w:val="ListParagraph"/>
        <w:numPr>
          <w:ilvl w:val="0"/>
          <w:numId w:val="32"/>
        </w:numPr>
        <w:rPr>
          <w:sz w:val="22"/>
          <w:szCs w:val="22"/>
        </w:rPr>
      </w:pPr>
      <w:r>
        <w:rPr>
          <w:sz w:val="22"/>
          <w:szCs w:val="22"/>
        </w:rPr>
        <w:t>Behaviours in Action Document</w:t>
      </w:r>
    </w:p>
    <w:p>
      <w:pPr>
        <w:pStyle w:val="ListParagraph"/>
        <w:numPr>
          <w:ilvl w:val="0"/>
          <w:numId w:val="32"/>
        </w:numPr>
        <w:rPr>
          <w:sz w:val="22"/>
          <w:szCs w:val="22"/>
        </w:rPr>
      </w:pPr>
      <w:r>
        <w:rPr>
          <w:sz w:val="22"/>
          <w:szCs w:val="22"/>
        </w:rPr>
        <w:t>Acceptable User Policy</w:t>
      </w:r>
    </w:p>
    <w:p>
      <w:pPr>
        <w:pStyle w:val="ListParagraph"/>
        <w:numPr>
          <w:ilvl w:val="0"/>
          <w:numId w:val="32"/>
        </w:numPr>
        <w:rPr>
          <w:sz w:val="22"/>
          <w:szCs w:val="22"/>
        </w:rPr>
      </w:pPr>
      <w:r>
        <w:rPr>
          <w:sz w:val="22"/>
          <w:szCs w:val="22"/>
        </w:rPr>
        <w:t>Attendance Policy 2016</w:t>
      </w:r>
    </w:p>
    <w:p>
      <w:pPr>
        <w:pStyle w:val="ListParagraph"/>
        <w:numPr>
          <w:ilvl w:val="0"/>
          <w:numId w:val="32"/>
        </w:numPr>
        <w:rPr>
          <w:sz w:val="22"/>
          <w:szCs w:val="22"/>
        </w:rPr>
      </w:pPr>
      <w:r>
        <w:rPr>
          <w:sz w:val="22"/>
          <w:szCs w:val="22"/>
        </w:rPr>
        <w:t>Educational Visits and Trips Policy 2016</w:t>
      </w:r>
    </w:p>
    <w:p>
      <w:pPr>
        <w:pStyle w:val="ListParagraph"/>
        <w:numPr>
          <w:ilvl w:val="0"/>
          <w:numId w:val="32"/>
        </w:numPr>
        <w:rPr>
          <w:sz w:val="22"/>
          <w:szCs w:val="22"/>
        </w:rPr>
      </w:pPr>
      <w:r>
        <w:rPr>
          <w:sz w:val="22"/>
          <w:szCs w:val="22"/>
        </w:rPr>
        <w:t>Keeping children safe in education 2018</w:t>
      </w:r>
    </w:p>
    <w:p>
      <w:pPr>
        <w:pStyle w:val="ListParagraph"/>
        <w:numPr>
          <w:ilvl w:val="0"/>
          <w:numId w:val="32"/>
        </w:numPr>
        <w:rPr>
          <w:sz w:val="22"/>
          <w:szCs w:val="22"/>
        </w:rPr>
      </w:pPr>
      <w:hyperlink r:id="rId11" w:history="1">
        <w:r>
          <w:rPr>
            <w:rStyle w:val="Hyperlink"/>
            <w:sz w:val="22"/>
            <w:szCs w:val="22"/>
          </w:rPr>
          <w:t>Prevent Duty 2015</w:t>
        </w:r>
      </w:hyperlink>
    </w:p>
    <w:p>
      <w:pPr>
        <w:pStyle w:val="ListParagraph"/>
        <w:numPr>
          <w:ilvl w:val="0"/>
          <w:numId w:val="32"/>
        </w:numPr>
        <w:rPr>
          <w:rStyle w:val="Hyperlink"/>
          <w:color w:val="auto"/>
          <w:sz w:val="22"/>
          <w:szCs w:val="22"/>
          <w:u w:val="none"/>
        </w:rPr>
      </w:pPr>
      <w:r>
        <w:rPr>
          <w:sz w:val="22"/>
          <w:szCs w:val="22"/>
        </w:rPr>
        <w:t>Working Together 2018</w:t>
      </w:r>
    </w:p>
    <w:p>
      <w:pPr>
        <w:pStyle w:val="ListParagraph"/>
        <w:numPr>
          <w:ilvl w:val="0"/>
          <w:numId w:val="32"/>
        </w:numPr>
        <w:rPr>
          <w:rStyle w:val="Hyperlink"/>
          <w:color w:val="auto"/>
          <w:sz w:val="22"/>
          <w:szCs w:val="22"/>
          <w:u w:val="none"/>
        </w:rPr>
      </w:pPr>
      <w:hyperlink r:id="rId12" w:history="1">
        <w:r>
          <w:rPr>
            <w:rStyle w:val="Hyperlink"/>
            <w:sz w:val="22"/>
            <w:szCs w:val="22"/>
          </w:rPr>
          <w:t>LCSB 5 year safeguarding children training pathway</w:t>
        </w:r>
      </w:hyperlink>
    </w:p>
    <w:p>
      <w:pPr>
        <w:pStyle w:val="ListParagraph"/>
        <w:numPr>
          <w:ilvl w:val="0"/>
          <w:numId w:val="32"/>
        </w:numPr>
        <w:rPr>
          <w:sz w:val="22"/>
          <w:szCs w:val="22"/>
        </w:rPr>
      </w:pPr>
      <w:hyperlink r:id="rId13" w:history="1">
        <w:r>
          <w:rPr>
            <w:rStyle w:val="Hyperlink"/>
            <w:sz w:val="22"/>
            <w:szCs w:val="22"/>
          </w:rPr>
          <w:t>Promoting Education of looked after children</w:t>
        </w:r>
      </w:hyperlink>
    </w:p>
    <w:p>
      <w:pPr>
        <w:pStyle w:val="ListParagraph"/>
        <w:numPr>
          <w:ilvl w:val="0"/>
          <w:numId w:val="32"/>
        </w:numPr>
        <w:rPr>
          <w:sz w:val="22"/>
          <w:szCs w:val="22"/>
        </w:rPr>
      </w:pPr>
      <w:r>
        <w:rPr>
          <w:sz w:val="22"/>
          <w:szCs w:val="22"/>
        </w:rPr>
        <w:t>Education of Looked After Children Policy 2016</w:t>
      </w:r>
    </w:p>
    <w:p>
      <w:pPr>
        <w:rPr>
          <w:b/>
          <w:sz w:val="22"/>
          <w:szCs w:val="22"/>
        </w:rPr>
      </w:pPr>
    </w:p>
    <w:p>
      <w:pPr>
        <w:pStyle w:val="PlainText"/>
        <w:jc w:val="both"/>
        <w:rPr>
          <w:rFonts w:ascii="Arial" w:hAnsi="Arial" w:cs="Arial"/>
          <w:b/>
          <w:sz w:val="22"/>
          <w:szCs w:val="22"/>
        </w:rPr>
      </w:pPr>
    </w:p>
    <w:p>
      <w:pPr>
        <w:pStyle w:val="PlainText"/>
        <w:jc w:val="both"/>
        <w:rPr>
          <w:rFonts w:ascii="Arial" w:hAnsi="Arial" w:cs="Arial"/>
          <w:sz w:val="22"/>
          <w:szCs w:val="22"/>
        </w:rPr>
      </w:pPr>
      <w:r>
        <w:rPr>
          <w:rFonts w:ascii="Arial" w:hAnsi="Arial" w:cs="Arial"/>
          <w:sz w:val="22"/>
          <w:szCs w:val="22"/>
        </w:rPr>
        <w:t>Throughout this policy and associated procedures, reference is made to ‘young people’.  This term is used to mean ‘those under the age of 19’.</w:t>
      </w:r>
    </w:p>
    <w:p>
      <w:pPr>
        <w:pStyle w:val="PlainText"/>
        <w:jc w:val="both"/>
        <w:rPr>
          <w:rFonts w:ascii="Arial" w:hAnsi="Arial" w:cs="Arial"/>
          <w:sz w:val="22"/>
          <w:szCs w:val="22"/>
        </w:rPr>
      </w:pPr>
    </w:p>
    <w:p>
      <w:pPr>
        <w:spacing w:line="360" w:lineRule="atLeast"/>
        <w:rPr>
          <w:sz w:val="22"/>
          <w:szCs w:val="22"/>
        </w:rPr>
      </w:pPr>
      <w:r>
        <w:rPr>
          <w:sz w:val="22"/>
          <w:szCs w:val="22"/>
        </w:rPr>
        <w:t>At Lincoln UTC we believe that all young people have a right to attend school and learn in a safe environment. Young people should be free from harm by adults in the school and other students.</w:t>
      </w:r>
    </w:p>
    <w:p>
      <w:pPr>
        <w:spacing w:line="360" w:lineRule="atLeast"/>
        <w:rPr>
          <w:sz w:val="22"/>
          <w:szCs w:val="22"/>
        </w:rPr>
      </w:pPr>
      <w:r>
        <w:rPr>
          <w:sz w:val="22"/>
          <w:szCs w:val="22"/>
        </w:rPr>
        <w:t>We recognise that some students will sometimes negatively affect the learning and wellbeing of others and their behaviour will be dealt with under the school’s Behaviour Policy.</w:t>
      </w:r>
    </w:p>
    <w:p>
      <w:pPr>
        <w:pStyle w:val="PlainText"/>
        <w:jc w:val="both"/>
        <w:rPr>
          <w:rFonts w:ascii="Arial" w:hAnsi="Arial" w:cs="Arial"/>
          <w:sz w:val="22"/>
          <w:szCs w:val="22"/>
        </w:rPr>
      </w:pPr>
    </w:p>
    <w:p>
      <w:pPr>
        <w:pStyle w:val="ListParagraph"/>
        <w:rPr>
          <w:sz w:val="22"/>
          <w:szCs w:val="22"/>
        </w:rPr>
      </w:pPr>
    </w:p>
    <w:p>
      <w:pPr>
        <w:pStyle w:val="PlainText"/>
        <w:jc w:val="both"/>
        <w:rPr>
          <w:rFonts w:ascii="Arial" w:hAnsi="Arial" w:cs="Arial"/>
          <w:sz w:val="22"/>
          <w:szCs w:val="22"/>
        </w:rPr>
      </w:pPr>
      <w:r>
        <w:rPr>
          <w:rFonts w:ascii="Arial" w:hAnsi="Arial" w:cs="Arial"/>
          <w:sz w:val="22"/>
          <w:szCs w:val="22"/>
        </w:rPr>
        <w:t>Lincoln UTC is committed to ensure that we protect young people from maltreatment and ensure they can grow up in a safe and caring environment.  Lincoln UTC will:</w:t>
      </w:r>
    </w:p>
    <w:p>
      <w:pPr>
        <w:pStyle w:val="PlainText"/>
        <w:jc w:val="both"/>
        <w:rPr>
          <w:rFonts w:ascii="Arial" w:hAnsi="Arial" w:cs="Arial"/>
          <w:sz w:val="22"/>
          <w:szCs w:val="22"/>
        </w:rPr>
      </w:pPr>
    </w:p>
    <w:p>
      <w:pPr>
        <w:pStyle w:val="PlainText"/>
        <w:numPr>
          <w:ilvl w:val="0"/>
          <w:numId w:val="34"/>
        </w:numPr>
        <w:ind w:left="709"/>
        <w:jc w:val="both"/>
        <w:rPr>
          <w:rFonts w:ascii="Arial" w:hAnsi="Arial" w:cs="Arial"/>
          <w:sz w:val="22"/>
          <w:szCs w:val="22"/>
        </w:rPr>
      </w:pPr>
      <w:proofErr w:type="gramStart"/>
      <w:r>
        <w:rPr>
          <w:rFonts w:ascii="Arial" w:hAnsi="Arial" w:cs="Arial"/>
          <w:sz w:val="22"/>
          <w:szCs w:val="22"/>
        </w:rPr>
        <w:t>provide</w:t>
      </w:r>
      <w:proofErr w:type="gramEnd"/>
      <w:r>
        <w:rPr>
          <w:rFonts w:ascii="Arial" w:hAnsi="Arial" w:cs="Arial"/>
          <w:sz w:val="22"/>
          <w:szCs w:val="22"/>
        </w:rPr>
        <w:t xml:space="preserve"> a safe environment for young people to learn in.</w:t>
      </w:r>
    </w:p>
    <w:p>
      <w:pPr>
        <w:pStyle w:val="PlainText"/>
        <w:ind w:left="709"/>
        <w:jc w:val="both"/>
        <w:rPr>
          <w:rFonts w:ascii="Arial" w:hAnsi="Arial" w:cs="Arial"/>
          <w:sz w:val="22"/>
          <w:szCs w:val="22"/>
        </w:rPr>
      </w:pPr>
    </w:p>
    <w:p>
      <w:pPr>
        <w:pStyle w:val="PlainText"/>
        <w:numPr>
          <w:ilvl w:val="0"/>
          <w:numId w:val="3"/>
        </w:numPr>
        <w:jc w:val="both"/>
        <w:rPr>
          <w:rFonts w:ascii="Arial" w:hAnsi="Arial" w:cs="Arial"/>
          <w:sz w:val="22"/>
          <w:szCs w:val="22"/>
        </w:rPr>
      </w:pPr>
      <w:proofErr w:type="gramStart"/>
      <w:r>
        <w:rPr>
          <w:rFonts w:ascii="Arial" w:hAnsi="Arial" w:cs="Arial"/>
          <w:sz w:val="22"/>
          <w:szCs w:val="22"/>
        </w:rPr>
        <w:t>identify</w:t>
      </w:r>
      <w:proofErr w:type="gramEnd"/>
      <w:r>
        <w:rPr>
          <w:rFonts w:ascii="Arial" w:hAnsi="Arial" w:cs="Arial"/>
          <w:sz w:val="22"/>
          <w:szCs w:val="22"/>
        </w:rPr>
        <w:t xml:space="preserve"> and support young people who are suffering, or likely to suffer, significant harm.</w:t>
      </w:r>
    </w:p>
    <w:p>
      <w:pPr>
        <w:pStyle w:val="PlainText"/>
        <w:ind w:left="709"/>
        <w:jc w:val="both"/>
        <w:rPr>
          <w:rFonts w:ascii="Arial" w:hAnsi="Arial" w:cs="Arial"/>
          <w:sz w:val="22"/>
          <w:szCs w:val="22"/>
        </w:rPr>
      </w:pPr>
    </w:p>
    <w:p>
      <w:pPr>
        <w:pStyle w:val="PlainText"/>
        <w:numPr>
          <w:ilvl w:val="0"/>
          <w:numId w:val="3"/>
        </w:numPr>
        <w:jc w:val="both"/>
        <w:rPr>
          <w:rFonts w:ascii="Arial" w:hAnsi="Arial" w:cs="Arial"/>
          <w:sz w:val="22"/>
          <w:szCs w:val="22"/>
        </w:rPr>
      </w:pPr>
      <w:proofErr w:type="gramStart"/>
      <w:r>
        <w:rPr>
          <w:rFonts w:ascii="Arial" w:hAnsi="Arial" w:cs="Arial"/>
          <w:sz w:val="22"/>
          <w:szCs w:val="22"/>
        </w:rPr>
        <w:t>take</w:t>
      </w:r>
      <w:proofErr w:type="gramEnd"/>
      <w:r>
        <w:rPr>
          <w:rFonts w:ascii="Arial" w:hAnsi="Arial" w:cs="Arial"/>
          <w:sz w:val="22"/>
          <w:szCs w:val="22"/>
        </w:rPr>
        <w:t xml:space="preserve"> appropriate action to ensure that such young people are kept safe, both at home and at college.</w:t>
      </w:r>
    </w:p>
    <w:p>
      <w:pPr>
        <w:pStyle w:val="ListParagraph"/>
        <w:rPr>
          <w:sz w:val="22"/>
          <w:szCs w:val="22"/>
        </w:rPr>
      </w:pPr>
    </w:p>
    <w:p>
      <w:pPr>
        <w:pStyle w:val="Default"/>
        <w:numPr>
          <w:ilvl w:val="0"/>
          <w:numId w:val="3"/>
        </w:numPr>
        <w:spacing w:after="44"/>
        <w:rPr>
          <w:rFonts w:ascii="Arial" w:hAnsi="Arial" w:cs="Arial"/>
          <w:sz w:val="22"/>
          <w:szCs w:val="22"/>
        </w:rPr>
      </w:pPr>
      <w:r>
        <w:rPr>
          <w:rFonts w:ascii="Arial" w:hAnsi="Arial" w:cs="Arial"/>
          <w:sz w:val="22"/>
          <w:szCs w:val="22"/>
        </w:rPr>
        <w:t>establish and maintain an ethos where young people feel secure and are encouraged to talk, and are listened to</w:t>
      </w:r>
    </w:p>
    <w:p>
      <w:pPr>
        <w:pStyle w:val="ListParagraph"/>
        <w:rPr>
          <w:sz w:val="22"/>
          <w:szCs w:val="22"/>
        </w:rPr>
      </w:pPr>
    </w:p>
    <w:p>
      <w:pPr>
        <w:pStyle w:val="Default"/>
        <w:numPr>
          <w:ilvl w:val="0"/>
          <w:numId w:val="3"/>
        </w:numPr>
        <w:spacing w:after="44"/>
        <w:rPr>
          <w:rFonts w:ascii="Arial" w:hAnsi="Arial" w:cs="Arial"/>
          <w:sz w:val="22"/>
          <w:szCs w:val="22"/>
        </w:rPr>
      </w:pPr>
      <w:r>
        <w:rPr>
          <w:rFonts w:ascii="Arial" w:hAnsi="Arial" w:cs="Arial"/>
          <w:sz w:val="22"/>
          <w:szCs w:val="22"/>
        </w:rPr>
        <w:t>ensure that young people know that there are adults in the UTC whom they can approach if they are worried or are in difficulty</w:t>
      </w:r>
    </w:p>
    <w:p>
      <w:pPr>
        <w:pStyle w:val="ListParagraph"/>
        <w:rPr>
          <w:sz w:val="22"/>
          <w:szCs w:val="22"/>
        </w:rPr>
      </w:pPr>
    </w:p>
    <w:p>
      <w:pPr>
        <w:pStyle w:val="Default"/>
        <w:numPr>
          <w:ilvl w:val="0"/>
          <w:numId w:val="3"/>
        </w:numPr>
        <w:rPr>
          <w:rFonts w:ascii="Arial" w:hAnsi="Arial" w:cs="Arial"/>
          <w:sz w:val="22"/>
          <w:szCs w:val="22"/>
        </w:rPr>
      </w:pPr>
      <w:r>
        <w:rPr>
          <w:rFonts w:ascii="Arial" w:hAnsi="Arial" w:cs="Arial"/>
          <w:sz w:val="22"/>
          <w:szCs w:val="22"/>
        </w:rPr>
        <w:t>include in the curriculum activities and opportunities for PSHE/Citizenship which equip young people with the skills they need to stay safe from abuse, and which will help them to develop realistic attitudes to the responsibilities of adult life, particularly with regard to childcare and parenting skills</w:t>
      </w:r>
    </w:p>
    <w:p>
      <w:pPr>
        <w:rPr>
          <w:rFonts w:eastAsiaTheme="minorHAnsi"/>
          <w:color w:val="000000"/>
          <w:sz w:val="22"/>
          <w:szCs w:val="22"/>
          <w:lang w:eastAsia="en-US"/>
        </w:rPr>
      </w:pPr>
      <w:r>
        <w:rPr>
          <w:sz w:val="22"/>
          <w:szCs w:val="22"/>
        </w:rPr>
        <w:br w:type="page"/>
      </w:r>
    </w:p>
    <w:p>
      <w:pPr>
        <w:pStyle w:val="Default"/>
        <w:rPr>
          <w:rFonts w:ascii="Arial" w:hAnsi="Arial" w:cs="Arial"/>
          <w:b/>
          <w:sz w:val="22"/>
          <w:szCs w:val="22"/>
        </w:rPr>
      </w:pPr>
      <w:r>
        <w:rPr>
          <w:rFonts w:ascii="Arial" w:hAnsi="Arial" w:cs="Arial"/>
          <w:b/>
          <w:sz w:val="22"/>
          <w:szCs w:val="22"/>
        </w:rPr>
        <w:lastRenderedPageBreak/>
        <w:t>2.  Key Contacts</w:t>
      </w:r>
    </w:p>
    <w:p>
      <w:pPr>
        <w:pStyle w:val="Default"/>
        <w:rPr>
          <w:rFonts w:ascii="Arial" w:hAnsi="Arial" w:cs="Arial"/>
          <w:sz w:val="22"/>
          <w:szCs w:val="22"/>
        </w:rPr>
      </w:pPr>
      <w:r>
        <w:rPr>
          <w:rFonts w:ascii="Arial" w:hAnsi="Arial" w:cs="Arial"/>
          <w:sz w:val="22"/>
          <w:szCs w:val="22"/>
        </w:rPr>
        <w:t>The Principal is:-</w:t>
      </w:r>
    </w:p>
    <w:p>
      <w:pPr>
        <w:ind w:left="720" w:firstLine="720"/>
        <w:rPr>
          <w:sz w:val="22"/>
          <w:szCs w:val="22"/>
        </w:rPr>
      </w:pPr>
      <w:r>
        <w:rPr>
          <w:sz w:val="22"/>
          <w:szCs w:val="22"/>
        </w:rPr>
        <w:t xml:space="preserve">Name: </w:t>
      </w:r>
      <w:r>
        <w:rPr>
          <w:sz w:val="22"/>
          <w:szCs w:val="22"/>
        </w:rPr>
        <w:tab/>
      </w:r>
      <w:r>
        <w:rPr>
          <w:sz w:val="22"/>
          <w:szCs w:val="22"/>
        </w:rPr>
        <w:tab/>
      </w:r>
      <w:r>
        <w:rPr>
          <w:sz w:val="22"/>
          <w:szCs w:val="22"/>
        </w:rPr>
        <w:tab/>
        <w:t>Mr John Morrison</w:t>
      </w:r>
    </w:p>
    <w:p>
      <w:pPr>
        <w:ind w:left="720" w:firstLine="720"/>
        <w:rPr>
          <w:sz w:val="22"/>
          <w:szCs w:val="22"/>
        </w:rPr>
      </w:pPr>
      <w:r>
        <w:rPr>
          <w:sz w:val="22"/>
          <w:szCs w:val="22"/>
        </w:rPr>
        <w:t xml:space="preserve">Position: </w:t>
      </w:r>
      <w:r>
        <w:rPr>
          <w:sz w:val="22"/>
          <w:szCs w:val="22"/>
        </w:rPr>
        <w:tab/>
      </w:r>
      <w:r>
        <w:rPr>
          <w:sz w:val="22"/>
          <w:szCs w:val="22"/>
        </w:rPr>
        <w:tab/>
        <w:t>Principal</w:t>
      </w:r>
    </w:p>
    <w:p>
      <w:pPr>
        <w:ind w:left="1440"/>
        <w:rPr>
          <w:sz w:val="22"/>
          <w:szCs w:val="22"/>
        </w:rPr>
      </w:pPr>
      <w:r>
        <w:rPr>
          <w:sz w:val="22"/>
          <w:szCs w:val="22"/>
        </w:rPr>
        <w:t>Organisation:</w:t>
      </w:r>
      <w:r>
        <w:rPr>
          <w:sz w:val="22"/>
          <w:szCs w:val="22"/>
        </w:rPr>
        <w:tab/>
      </w:r>
      <w:r>
        <w:rPr>
          <w:sz w:val="22"/>
          <w:szCs w:val="22"/>
        </w:rPr>
        <w:tab/>
        <w:t>Lincoln UTC</w:t>
      </w:r>
    </w:p>
    <w:p>
      <w:pPr>
        <w:ind w:left="720" w:firstLine="720"/>
        <w:rPr>
          <w:sz w:val="22"/>
          <w:szCs w:val="22"/>
        </w:rPr>
      </w:pPr>
      <w:r>
        <w:rPr>
          <w:sz w:val="22"/>
          <w:szCs w:val="22"/>
        </w:rPr>
        <w:t>Telephone:</w:t>
      </w:r>
      <w:r>
        <w:rPr>
          <w:sz w:val="22"/>
          <w:szCs w:val="22"/>
        </w:rPr>
        <w:tab/>
      </w:r>
      <w:r>
        <w:rPr>
          <w:sz w:val="22"/>
          <w:szCs w:val="22"/>
        </w:rPr>
        <w:tab/>
        <w:t>01522 775990</w:t>
      </w:r>
    </w:p>
    <w:p>
      <w:pPr>
        <w:pStyle w:val="Default"/>
        <w:rPr>
          <w:rFonts w:ascii="Arial" w:hAnsi="Arial" w:cs="Arial"/>
          <w:sz w:val="22"/>
          <w:szCs w:val="22"/>
        </w:rPr>
      </w:pPr>
    </w:p>
    <w:p>
      <w:pPr>
        <w:pStyle w:val="Default"/>
        <w:rPr>
          <w:rFonts w:ascii="Arial" w:hAnsi="Arial" w:cs="Arial"/>
          <w:sz w:val="22"/>
          <w:szCs w:val="22"/>
        </w:rPr>
      </w:pPr>
      <w:r>
        <w:rPr>
          <w:rFonts w:ascii="Arial" w:hAnsi="Arial" w:cs="Arial"/>
          <w:sz w:val="22"/>
          <w:szCs w:val="22"/>
        </w:rPr>
        <w:t>The Safeguarding Governor is:-</w:t>
      </w:r>
    </w:p>
    <w:p>
      <w:pPr>
        <w:ind w:left="720" w:firstLine="720"/>
        <w:rPr>
          <w:sz w:val="22"/>
          <w:szCs w:val="22"/>
        </w:rPr>
      </w:pPr>
      <w:r>
        <w:rPr>
          <w:sz w:val="22"/>
          <w:szCs w:val="22"/>
        </w:rPr>
        <w:t xml:space="preserve">Name: </w:t>
      </w:r>
      <w:r>
        <w:rPr>
          <w:sz w:val="22"/>
          <w:szCs w:val="22"/>
        </w:rPr>
        <w:tab/>
      </w:r>
      <w:r>
        <w:rPr>
          <w:sz w:val="22"/>
          <w:szCs w:val="22"/>
        </w:rPr>
        <w:tab/>
      </w:r>
      <w:r>
        <w:rPr>
          <w:sz w:val="22"/>
          <w:szCs w:val="22"/>
        </w:rPr>
        <w:tab/>
        <w:t xml:space="preserve">James Smith </w:t>
      </w:r>
      <w:r>
        <w:rPr>
          <w:sz w:val="22"/>
          <w:szCs w:val="22"/>
        </w:rPr>
        <w:tab/>
      </w:r>
      <w:r>
        <w:rPr>
          <w:sz w:val="22"/>
          <w:szCs w:val="22"/>
        </w:rPr>
        <w:tab/>
      </w:r>
    </w:p>
    <w:p>
      <w:pPr>
        <w:ind w:left="720" w:firstLine="720"/>
        <w:rPr>
          <w:sz w:val="22"/>
          <w:szCs w:val="22"/>
        </w:rPr>
      </w:pPr>
      <w:r>
        <w:rPr>
          <w:sz w:val="22"/>
          <w:szCs w:val="22"/>
        </w:rPr>
        <w:t xml:space="preserve">Position: </w:t>
      </w:r>
      <w:r>
        <w:rPr>
          <w:sz w:val="22"/>
          <w:szCs w:val="22"/>
        </w:rPr>
        <w:tab/>
      </w:r>
      <w:r>
        <w:rPr>
          <w:sz w:val="22"/>
          <w:szCs w:val="22"/>
        </w:rPr>
        <w:tab/>
        <w:t>Governor</w:t>
      </w:r>
      <w:r>
        <w:rPr>
          <w:sz w:val="22"/>
          <w:szCs w:val="22"/>
        </w:rPr>
        <w:tab/>
      </w:r>
      <w:r>
        <w:rPr>
          <w:sz w:val="22"/>
          <w:szCs w:val="22"/>
        </w:rPr>
        <w:tab/>
      </w:r>
    </w:p>
    <w:p>
      <w:pPr>
        <w:ind w:left="720" w:firstLine="720"/>
        <w:rPr>
          <w:sz w:val="22"/>
          <w:szCs w:val="22"/>
        </w:rPr>
      </w:pPr>
      <w:r>
        <w:rPr>
          <w:sz w:val="22"/>
          <w:szCs w:val="22"/>
        </w:rPr>
        <w:t>Telephone:</w:t>
      </w:r>
      <w:r>
        <w:rPr>
          <w:sz w:val="22"/>
          <w:szCs w:val="22"/>
        </w:rPr>
        <w:tab/>
      </w:r>
      <w:r>
        <w:rPr>
          <w:sz w:val="22"/>
          <w:szCs w:val="22"/>
        </w:rPr>
        <w:tab/>
      </w:r>
    </w:p>
    <w:p>
      <w:pPr>
        <w:ind w:left="720" w:firstLine="720"/>
        <w:rPr>
          <w:color w:val="1F497D"/>
          <w:sz w:val="22"/>
          <w:szCs w:val="22"/>
        </w:rPr>
      </w:pPr>
      <w:r>
        <w:rPr>
          <w:sz w:val="22"/>
          <w:szCs w:val="22"/>
        </w:rPr>
        <w:t xml:space="preserve">E-mail: </w:t>
      </w:r>
      <w:r>
        <w:rPr>
          <w:sz w:val="22"/>
          <w:szCs w:val="22"/>
        </w:rPr>
        <w:tab/>
      </w:r>
      <w:r>
        <w:rPr>
          <w:sz w:val="22"/>
          <w:szCs w:val="22"/>
        </w:rPr>
        <w:tab/>
      </w:r>
      <w:r>
        <w:rPr>
          <w:color w:val="1F497D"/>
          <w:sz w:val="22"/>
          <w:szCs w:val="22"/>
        </w:rPr>
        <w:t>Smithjamesdavid@outlook.com</w:t>
      </w:r>
    </w:p>
    <w:p>
      <w:pPr>
        <w:ind w:left="720" w:firstLine="720"/>
        <w:rPr>
          <w:sz w:val="22"/>
          <w:szCs w:val="22"/>
        </w:rPr>
      </w:pPr>
    </w:p>
    <w:p>
      <w:pPr>
        <w:ind w:left="720" w:firstLine="720"/>
        <w:rPr>
          <w:sz w:val="22"/>
          <w:szCs w:val="22"/>
        </w:rPr>
      </w:pPr>
    </w:p>
    <w:p>
      <w:pPr>
        <w:pStyle w:val="Default"/>
        <w:rPr>
          <w:rFonts w:ascii="Arial" w:hAnsi="Arial" w:cs="Arial"/>
          <w:sz w:val="22"/>
          <w:szCs w:val="22"/>
        </w:rPr>
      </w:pPr>
    </w:p>
    <w:p>
      <w:pPr>
        <w:pStyle w:val="Default"/>
        <w:rPr>
          <w:rFonts w:ascii="Arial" w:hAnsi="Arial" w:cs="Arial"/>
          <w:sz w:val="22"/>
          <w:szCs w:val="22"/>
        </w:rPr>
      </w:pPr>
      <w:r>
        <w:rPr>
          <w:rFonts w:ascii="Arial" w:hAnsi="Arial" w:cs="Arial"/>
          <w:sz w:val="22"/>
          <w:szCs w:val="22"/>
        </w:rPr>
        <w:t>The Local Authority Designated Officer (LADO) is:-</w:t>
      </w:r>
    </w:p>
    <w:p>
      <w:pPr>
        <w:ind w:left="720" w:firstLine="720"/>
        <w:rPr>
          <w:sz w:val="22"/>
          <w:szCs w:val="22"/>
        </w:rPr>
      </w:pPr>
      <w:r>
        <w:rPr>
          <w:sz w:val="22"/>
          <w:szCs w:val="22"/>
        </w:rPr>
        <w:t xml:space="preserve">Name: </w:t>
      </w:r>
      <w:r>
        <w:rPr>
          <w:sz w:val="22"/>
          <w:szCs w:val="22"/>
        </w:rPr>
        <w:tab/>
      </w:r>
      <w:r>
        <w:rPr>
          <w:sz w:val="22"/>
          <w:szCs w:val="22"/>
        </w:rPr>
        <w:tab/>
      </w:r>
      <w:r>
        <w:rPr>
          <w:sz w:val="22"/>
          <w:szCs w:val="22"/>
        </w:rPr>
        <w:tab/>
        <w:t>Paul Fischer</w:t>
      </w:r>
    </w:p>
    <w:p>
      <w:pPr>
        <w:ind w:left="720" w:firstLine="720"/>
        <w:rPr>
          <w:sz w:val="22"/>
          <w:szCs w:val="22"/>
        </w:rPr>
      </w:pPr>
      <w:r>
        <w:rPr>
          <w:sz w:val="22"/>
          <w:szCs w:val="22"/>
        </w:rPr>
        <w:t xml:space="preserve">Position: </w:t>
      </w:r>
      <w:r>
        <w:rPr>
          <w:sz w:val="22"/>
          <w:szCs w:val="22"/>
        </w:rPr>
        <w:tab/>
      </w:r>
      <w:r>
        <w:rPr>
          <w:sz w:val="22"/>
          <w:szCs w:val="22"/>
        </w:rPr>
        <w:tab/>
        <w:t>Local Authority Designated Officer</w:t>
      </w:r>
    </w:p>
    <w:p>
      <w:pPr>
        <w:ind w:left="1440"/>
        <w:rPr>
          <w:sz w:val="22"/>
          <w:szCs w:val="22"/>
        </w:rPr>
      </w:pPr>
      <w:r>
        <w:rPr>
          <w:sz w:val="22"/>
          <w:szCs w:val="22"/>
        </w:rPr>
        <w:t>Organisation:</w:t>
      </w:r>
      <w:r>
        <w:rPr>
          <w:sz w:val="22"/>
          <w:szCs w:val="22"/>
        </w:rPr>
        <w:tab/>
      </w:r>
      <w:r>
        <w:rPr>
          <w:sz w:val="22"/>
          <w:szCs w:val="22"/>
        </w:rPr>
        <w:tab/>
        <w:t>Lincolnshire Safeguarding Children Board</w:t>
      </w:r>
    </w:p>
    <w:p>
      <w:pPr>
        <w:ind w:left="720" w:firstLine="720"/>
        <w:rPr>
          <w:sz w:val="22"/>
          <w:szCs w:val="22"/>
        </w:rPr>
      </w:pPr>
      <w:r>
        <w:rPr>
          <w:sz w:val="22"/>
          <w:szCs w:val="22"/>
        </w:rPr>
        <w:t>Telephone:</w:t>
      </w:r>
      <w:r>
        <w:rPr>
          <w:sz w:val="22"/>
          <w:szCs w:val="22"/>
        </w:rPr>
        <w:tab/>
      </w:r>
      <w:r>
        <w:rPr>
          <w:sz w:val="22"/>
          <w:szCs w:val="22"/>
        </w:rPr>
        <w:tab/>
        <w:t>01522 554668</w:t>
      </w:r>
    </w:p>
    <w:p>
      <w:pPr>
        <w:ind w:left="720" w:firstLine="720"/>
        <w:rPr>
          <w:sz w:val="22"/>
          <w:szCs w:val="22"/>
        </w:rPr>
      </w:pPr>
      <w:r>
        <w:rPr>
          <w:sz w:val="22"/>
          <w:szCs w:val="22"/>
        </w:rPr>
        <w:t>Alternative:</w:t>
      </w:r>
      <w:r>
        <w:rPr>
          <w:sz w:val="22"/>
          <w:szCs w:val="22"/>
        </w:rPr>
        <w:tab/>
      </w:r>
      <w:r>
        <w:rPr>
          <w:sz w:val="22"/>
          <w:szCs w:val="22"/>
        </w:rPr>
        <w:tab/>
        <w:t xml:space="preserve">01522 554674 </w:t>
      </w:r>
      <w:r>
        <w:rPr>
          <w:sz w:val="22"/>
          <w:szCs w:val="22"/>
        </w:rPr>
        <w:tab/>
      </w:r>
      <w:r>
        <w:rPr>
          <w:sz w:val="22"/>
          <w:szCs w:val="22"/>
        </w:rPr>
        <w:tab/>
      </w:r>
    </w:p>
    <w:p>
      <w:pPr>
        <w:rPr>
          <w:sz w:val="22"/>
          <w:szCs w:val="22"/>
        </w:rPr>
      </w:pPr>
    </w:p>
    <w:p>
      <w:pPr>
        <w:rPr>
          <w:sz w:val="22"/>
          <w:szCs w:val="22"/>
        </w:rPr>
      </w:pPr>
      <w:r>
        <w:rPr>
          <w:sz w:val="22"/>
          <w:szCs w:val="22"/>
        </w:rPr>
        <w:t>The UTC’s Designated Safeguarding Lead is:-</w:t>
      </w:r>
    </w:p>
    <w:p>
      <w:pPr>
        <w:ind w:left="720" w:firstLine="720"/>
        <w:rPr>
          <w:sz w:val="22"/>
          <w:szCs w:val="22"/>
        </w:rPr>
      </w:pPr>
      <w:r>
        <w:rPr>
          <w:sz w:val="22"/>
          <w:szCs w:val="22"/>
        </w:rPr>
        <w:t xml:space="preserve">Name: </w:t>
      </w:r>
      <w:r>
        <w:rPr>
          <w:sz w:val="22"/>
          <w:szCs w:val="22"/>
        </w:rPr>
        <w:tab/>
      </w:r>
      <w:r>
        <w:rPr>
          <w:sz w:val="22"/>
          <w:szCs w:val="22"/>
        </w:rPr>
        <w:tab/>
      </w:r>
      <w:r>
        <w:rPr>
          <w:sz w:val="22"/>
          <w:szCs w:val="22"/>
        </w:rPr>
        <w:tab/>
        <w:t>Claire Lowe</w:t>
      </w:r>
    </w:p>
    <w:p>
      <w:pPr>
        <w:ind w:left="720" w:firstLine="720"/>
        <w:rPr>
          <w:sz w:val="22"/>
          <w:szCs w:val="22"/>
        </w:rPr>
      </w:pPr>
      <w:r>
        <w:rPr>
          <w:sz w:val="22"/>
          <w:szCs w:val="22"/>
        </w:rPr>
        <w:t xml:space="preserve">Position: </w:t>
      </w:r>
      <w:r>
        <w:rPr>
          <w:sz w:val="22"/>
          <w:szCs w:val="22"/>
        </w:rPr>
        <w:tab/>
      </w:r>
      <w:r>
        <w:rPr>
          <w:sz w:val="22"/>
          <w:szCs w:val="22"/>
        </w:rPr>
        <w:tab/>
      </w:r>
      <w:proofErr w:type="spellStart"/>
      <w:r>
        <w:rPr>
          <w:sz w:val="22"/>
          <w:szCs w:val="22"/>
        </w:rPr>
        <w:t>SENDCo</w:t>
      </w:r>
      <w:proofErr w:type="spellEnd"/>
    </w:p>
    <w:p>
      <w:pPr>
        <w:ind w:left="1440"/>
        <w:rPr>
          <w:sz w:val="22"/>
          <w:szCs w:val="22"/>
        </w:rPr>
      </w:pPr>
      <w:r>
        <w:rPr>
          <w:sz w:val="22"/>
          <w:szCs w:val="22"/>
        </w:rPr>
        <w:t>Organisation:</w:t>
      </w:r>
      <w:r>
        <w:rPr>
          <w:sz w:val="22"/>
          <w:szCs w:val="22"/>
        </w:rPr>
        <w:tab/>
      </w:r>
      <w:r>
        <w:rPr>
          <w:sz w:val="22"/>
          <w:szCs w:val="22"/>
        </w:rPr>
        <w:tab/>
        <w:t>Lincoln UTC</w:t>
      </w:r>
    </w:p>
    <w:p>
      <w:pPr>
        <w:ind w:left="720" w:firstLine="720"/>
        <w:rPr>
          <w:sz w:val="22"/>
          <w:szCs w:val="22"/>
        </w:rPr>
      </w:pPr>
      <w:r>
        <w:rPr>
          <w:sz w:val="22"/>
          <w:szCs w:val="22"/>
        </w:rPr>
        <w:t>Telephone:</w:t>
      </w:r>
      <w:r>
        <w:rPr>
          <w:sz w:val="22"/>
          <w:szCs w:val="22"/>
        </w:rPr>
        <w:tab/>
      </w:r>
      <w:r>
        <w:rPr>
          <w:sz w:val="22"/>
          <w:szCs w:val="22"/>
        </w:rPr>
        <w:tab/>
        <w:t>01522 775990</w:t>
      </w:r>
    </w:p>
    <w:p>
      <w:pPr>
        <w:ind w:left="720" w:firstLine="720"/>
        <w:rPr>
          <w:sz w:val="22"/>
          <w:szCs w:val="22"/>
        </w:rPr>
      </w:pPr>
      <w:r>
        <w:rPr>
          <w:sz w:val="22"/>
          <w:szCs w:val="22"/>
        </w:rPr>
        <w:t xml:space="preserve">E-mail: </w:t>
      </w:r>
      <w:r>
        <w:rPr>
          <w:sz w:val="22"/>
          <w:szCs w:val="22"/>
        </w:rPr>
        <w:tab/>
      </w:r>
      <w:r>
        <w:rPr>
          <w:sz w:val="22"/>
          <w:szCs w:val="22"/>
        </w:rPr>
        <w:tab/>
      </w:r>
      <w:hyperlink r:id="rId14" w:history="1">
        <w:r>
          <w:rPr>
            <w:rStyle w:val="Hyperlink"/>
            <w:sz w:val="22"/>
            <w:szCs w:val="22"/>
          </w:rPr>
          <w:t>clowe@lincolnutc.co.uk</w:t>
        </w:r>
      </w:hyperlink>
    </w:p>
    <w:p>
      <w:pPr>
        <w:pStyle w:val="Default"/>
        <w:rPr>
          <w:rFonts w:ascii="Arial" w:hAnsi="Arial" w:cs="Arial"/>
          <w:sz w:val="22"/>
          <w:szCs w:val="22"/>
        </w:rPr>
      </w:pPr>
    </w:p>
    <w:p>
      <w:pPr>
        <w:pStyle w:val="Default"/>
        <w:rPr>
          <w:rFonts w:ascii="Arial" w:hAnsi="Arial" w:cs="Arial"/>
          <w:sz w:val="22"/>
          <w:szCs w:val="22"/>
        </w:rPr>
      </w:pPr>
      <w:r>
        <w:rPr>
          <w:rFonts w:ascii="Arial" w:hAnsi="Arial" w:cs="Arial"/>
          <w:sz w:val="22"/>
          <w:szCs w:val="22"/>
        </w:rPr>
        <w:t>The Deputy Designated Safeguarding Lead is:-</w:t>
      </w:r>
    </w:p>
    <w:p>
      <w:pPr>
        <w:ind w:left="720" w:firstLine="720"/>
        <w:rPr>
          <w:sz w:val="22"/>
          <w:szCs w:val="22"/>
        </w:rPr>
      </w:pPr>
      <w:r>
        <w:rPr>
          <w:sz w:val="22"/>
          <w:szCs w:val="22"/>
        </w:rPr>
        <w:t xml:space="preserve">Name: </w:t>
      </w:r>
      <w:r>
        <w:rPr>
          <w:sz w:val="22"/>
          <w:szCs w:val="22"/>
        </w:rPr>
        <w:tab/>
      </w:r>
      <w:r>
        <w:rPr>
          <w:sz w:val="22"/>
          <w:szCs w:val="22"/>
        </w:rPr>
        <w:tab/>
      </w:r>
      <w:r>
        <w:rPr>
          <w:sz w:val="22"/>
          <w:szCs w:val="22"/>
        </w:rPr>
        <w:tab/>
        <w:t>Kayleigh Breward</w:t>
      </w:r>
    </w:p>
    <w:p>
      <w:pPr>
        <w:ind w:left="720" w:firstLine="720"/>
        <w:rPr>
          <w:sz w:val="22"/>
          <w:szCs w:val="22"/>
        </w:rPr>
      </w:pPr>
      <w:r>
        <w:rPr>
          <w:sz w:val="22"/>
          <w:szCs w:val="22"/>
        </w:rPr>
        <w:t xml:space="preserve">Position: </w:t>
      </w:r>
      <w:r>
        <w:rPr>
          <w:sz w:val="22"/>
          <w:szCs w:val="22"/>
        </w:rPr>
        <w:tab/>
      </w:r>
      <w:r>
        <w:rPr>
          <w:sz w:val="22"/>
          <w:szCs w:val="22"/>
        </w:rPr>
        <w:tab/>
      </w:r>
      <w:r>
        <w:rPr>
          <w:color w:val="000000"/>
          <w:sz w:val="22"/>
          <w:szCs w:val="22"/>
          <w:lang w:val="en-US"/>
        </w:rPr>
        <w:t xml:space="preserve">Assistant </w:t>
      </w:r>
      <w:proofErr w:type="spellStart"/>
      <w:r>
        <w:rPr>
          <w:color w:val="000000"/>
          <w:sz w:val="22"/>
          <w:szCs w:val="22"/>
          <w:lang w:val="en-US"/>
        </w:rPr>
        <w:t>SENDCo</w:t>
      </w:r>
      <w:proofErr w:type="spellEnd"/>
    </w:p>
    <w:p>
      <w:pPr>
        <w:ind w:left="1440"/>
        <w:rPr>
          <w:sz w:val="22"/>
          <w:szCs w:val="22"/>
        </w:rPr>
      </w:pPr>
      <w:r>
        <w:rPr>
          <w:sz w:val="22"/>
          <w:szCs w:val="22"/>
        </w:rPr>
        <w:t>Organisation:</w:t>
      </w:r>
      <w:r>
        <w:rPr>
          <w:sz w:val="22"/>
          <w:szCs w:val="22"/>
        </w:rPr>
        <w:tab/>
      </w:r>
      <w:r>
        <w:rPr>
          <w:sz w:val="22"/>
          <w:szCs w:val="22"/>
        </w:rPr>
        <w:tab/>
        <w:t>Lincoln UTC</w:t>
      </w:r>
    </w:p>
    <w:p>
      <w:pPr>
        <w:ind w:left="720" w:firstLine="720"/>
        <w:rPr>
          <w:sz w:val="22"/>
          <w:szCs w:val="22"/>
        </w:rPr>
      </w:pPr>
      <w:r>
        <w:rPr>
          <w:sz w:val="22"/>
          <w:szCs w:val="22"/>
        </w:rPr>
        <w:t>Telephone:</w:t>
      </w:r>
      <w:r>
        <w:rPr>
          <w:sz w:val="22"/>
          <w:szCs w:val="22"/>
        </w:rPr>
        <w:tab/>
      </w:r>
      <w:r>
        <w:rPr>
          <w:sz w:val="22"/>
          <w:szCs w:val="22"/>
        </w:rPr>
        <w:tab/>
        <w:t>01522 775990</w:t>
      </w:r>
    </w:p>
    <w:p>
      <w:pPr>
        <w:ind w:left="720" w:firstLine="720"/>
        <w:rPr>
          <w:sz w:val="22"/>
          <w:szCs w:val="22"/>
        </w:rPr>
      </w:pPr>
      <w:r>
        <w:rPr>
          <w:sz w:val="22"/>
          <w:szCs w:val="22"/>
        </w:rPr>
        <w:t xml:space="preserve">E-mail: </w:t>
      </w:r>
      <w:r>
        <w:rPr>
          <w:sz w:val="22"/>
          <w:szCs w:val="22"/>
        </w:rPr>
        <w:tab/>
      </w:r>
      <w:r>
        <w:rPr>
          <w:sz w:val="22"/>
          <w:szCs w:val="22"/>
        </w:rPr>
        <w:tab/>
      </w:r>
      <w:hyperlink r:id="rId15" w:history="1">
        <w:r>
          <w:rPr>
            <w:rStyle w:val="Hyperlink"/>
            <w:sz w:val="22"/>
            <w:szCs w:val="22"/>
          </w:rPr>
          <w:t>kbreward@lincolnutc.co.uk</w:t>
        </w:r>
      </w:hyperlink>
    </w:p>
    <w:p>
      <w:pPr>
        <w:rPr>
          <w:sz w:val="22"/>
          <w:szCs w:val="22"/>
        </w:rPr>
      </w:pPr>
    </w:p>
    <w:p>
      <w:pPr>
        <w:pStyle w:val="Default"/>
        <w:rPr>
          <w:rFonts w:ascii="Arial" w:hAnsi="Arial" w:cs="Arial"/>
          <w:sz w:val="22"/>
          <w:szCs w:val="22"/>
        </w:rPr>
      </w:pPr>
      <w:r>
        <w:rPr>
          <w:rFonts w:ascii="Arial" w:hAnsi="Arial" w:cs="Arial"/>
          <w:sz w:val="22"/>
          <w:szCs w:val="22"/>
        </w:rPr>
        <w:t>The E-Safety Officer is:-</w:t>
      </w:r>
      <w:r>
        <w:rPr>
          <w:rFonts w:ascii="Arial" w:hAnsi="Arial" w:cs="Arial"/>
          <w:sz w:val="22"/>
          <w:szCs w:val="22"/>
        </w:rPr>
        <w:tab/>
      </w:r>
      <w:r>
        <w:rPr>
          <w:rFonts w:ascii="Arial" w:hAnsi="Arial" w:cs="Arial"/>
          <w:sz w:val="22"/>
          <w:szCs w:val="22"/>
        </w:rPr>
        <w:tab/>
      </w:r>
    </w:p>
    <w:p>
      <w:pPr>
        <w:ind w:left="720" w:firstLine="720"/>
        <w:rPr>
          <w:sz w:val="22"/>
          <w:szCs w:val="22"/>
        </w:rPr>
      </w:pPr>
      <w:r>
        <w:rPr>
          <w:sz w:val="22"/>
          <w:szCs w:val="22"/>
        </w:rPr>
        <w:t xml:space="preserve">Name: </w:t>
      </w:r>
      <w:r>
        <w:rPr>
          <w:sz w:val="22"/>
          <w:szCs w:val="22"/>
        </w:rPr>
        <w:tab/>
      </w:r>
      <w:r>
        <w:rPr>
          <w:sz w:val="22"/>
          <w:szCs w:val="22"/>
        </w:rPr>
        <w:tab/>
      </w:r>
      <w:r>
        <w:rPr>
          <w:sz w:val="22"/>
          <w:szCs w:val="22"/>
        </w:rPr>
        <w:tab/>
        <w:t xml:space="preserve">Liam Murphy </w:t>
      </w:r>
    </w:p>
    <w:p>
      <w:pPr>
        <w:ind w:left="720" w:firstLine="720"/>
        <w:rPr>
          <w:sz w:val="22"/>
          <w:szCs w:val="22"/>
        </w:rPr>
      </w:pPr>
      <w:r>
        <w:rPr>
          <w:sz w:val="22"/>
          <w:szCs w:val="22"/>
        </w:rPr>
        <w:t xml:space="preserve">Position: </w:t>
      </w:r>
      <w:r>
        <w:rPr>
          <w:sz w:val="22"/>
          <w:szCs w:val="22"/>
        </w:rPr>
        <w:tab/>
      </w:r>
      <w:r>
        <w:rPr>
          <w:sz w:val="22"/>
          <w:szCs w:val="22"/>
        </w:rPr>
        <w:tab/>
        <w:t>IT Technician</w:t>
      </w:r>
    </w:p>
    <w:p>
      <w:pPr>
        <w:ind w:left="1440"/>
        <w:rPr>
          <w:sz w:val="22"/>
          <w:szCs w:val="22"/>
        </w:rPr>
      </w:pPr>
      <w:r>
        <w:rPr>
          <w:sz w:val="22"/>
          <w:szCs w:val="22"/>
        </w:rPr>
        <w:t>Organisation:</w:t>
      </w:r>
      <w:r>
        <w:rPr>
          <w:sz w:val="22"/>
          <w:szCs w:val="22"/>
        </w:rPr>
        <w:tab/>
      </w:r>
      <w:r>
        <w:rPr>
          <w:sz w:val="22"/>
          <w:szCs w:val="22"/>
        </w:rPr>
        <w:tab/>
        <w:t>Lincoln UTC</w:t>
      </w:r>
    </w:p>
    <w:p>
      <w:pPr>
        <w:ind w:left="720" w:firstLine="720"/>
        <w:rPr>
          <w:sz w:val="22"/>
          <w:szCs w:val="22"/>
        </w:rPr>
      </w:pPr>
      <w:r>
        <w:rPr>
          <w:sz w:val="22"/>
          <w:szCs w:val="22"/>
        </w:rPr>
        <w:t>Telephone:</w:t>
      </w:r>
      <w:r>
        <w:rPr>
          <w:sz w:val="22"/>
          <w:szCs w:val="22"/>
        </w:rPr>
        <w:tab/>
      </w:r>
      <w:r>
        <w:rPr>
          <w:sz w:val="22"/>
          <w:szCs w:val="22"/>
        </w:rPr>
        <w:tab/>
        <w:t>01522 775990</w:t>
      </w:r>
    </w:p>
    <w:p>
      <w:pPr>
        <w:ind w:left="720" w:firstLine="720"/>
        <w:rPr>
          <w:sz w:val="22"/>
          <w:szCs w:val="22"/>
        </w:rPr>
      </w:pPr>
      <w:r>
        <w:rPr>
          <w:sz w:val="22"/>
          <w:szCs w:val="22"/>
        </w:rPr>
        <w:t xml:space="preserve">E-mail: </w:t>
      </w:r>
      <w:r>
        <w:rPr>
          <w:sz w:val="22"/>
          <w:szCs w:val="22"/>
        </w:rPr>
        <w:tab/>
      </w:r>
      <w:r>
        <w:rPr>
          <w:sz w:val="22"/>
          <w:szCs w:val="22"/>
        </w:rPr>
        <w:tab/>
      </w:r>
      <w:hyperlink r:id="rId16" w:history="1">
        <w:r>
          <w:rPr>
            <w:rStyle w:val="Hyperlink"/>
            <w:sz w:val="22"/>
            <w:szCs w:val="22"/>
          </w:rPr>
          <w:t>lmurphy@lincolnutc.co.uk</w:t>
        </w:r>
      </w:hyperlink>
      <w:r>
        <w:rPr>
          <w:sz w:val="22"/>
          <w:szCs w:val="22"/>
        </w:rPr>
        <w:t xml:space="preserve"> </w:t>
      </w:r>
    </w:p>
    <w:p>
      <w:pPr>
        <w:ind w:left="720" w:firstLine="720"/>
        <w:rPr>
          <w:sz w:val="22"/>
          <w:szCs w:val="22"/>
        </w:rPr>
      </w:pPr>
    </w:p>
    <w:p>
      <w:pPr>
        <w:pStyle w:val="Default"/>
        <w:rPr>
          <w:rFonts w:ascii="Arial" w:hAnsi="Arial" w:cs="Arial"/>
          <w:sz w:val="22"/>
          <w:szCs w:val="22"/>
        </w:rPr>
      </w:pPr>
      <w:r>
        <w:rPr>
          <w:rFonts w:ascii="Arial" w:hAnsi="Arial" w:cs="Arial"/>
          <w:sz w:val="22"/>
          <w:szCs w:val="22"/>
        </w:rPr>
        <w:t>The Designated Person for Looked after Children is:-</w:t>
      </w:r>
    </w:p>
    <w:p>
      <w:pPr>
        <w:ind w:left="720" w:firstLine="720"/>
        <w:rPr>
          <w:sz w:val="22"/>
          <w:szCs w:val="22"/>
        </w:rPr>
      </w:pPr>
      <w:r>
        <w:rPr>
          <w:sz w:val="22"/>
          <w:szCs w:val="22"/>
        </w:rPr>
        <w:t xml:space="preserve">Name: </w:t>
      </w:r>
      <w:r>
        <w:rPr>
          <w:sz w:val="22"/>
          <w:szCs w:val="22"/>
        </w:rPr>
        <w:tab/>
      </w:r>
      <w:r>
        <w:rPr>
          <w:sz w:val="22"/>
          <w:szCs w:val="22"/>
        </w:rPr>
        <w:tab/>
      </w:r>
      <w:r>
        <w:rPr>
          <w:sz w:val="22"/>
          <w:szCs w:val="22"/>
        </w:rPr>
        <w:tab/>
        <w:t>Claire Lowe</w:t>
      </w:r>
    </w:p>
    <w:p>
      <w:pPr>
        <w:ind w:left="720" w:firstLine="720"/>
        <w:rPr>
          <w:sz w:val="22"/>
          <w:szCs w:val="22"/>
        </w:rPr>
      </w:pPr>
      <w:r>
        <w:rPr>
          <w:sz w:val="22"/>
          <w:szCs w:val="22"/>
        </w:rPr>
        <w:t xml:space="preserve">Position: </w:t>
      </w:r>
      <w:r>
        <w:rPr>
          <w:sz w:val="22"/>
          <w:szCs w:val="22"/>
        </w:rPr>
        <w:tab/>
      </w:r>
      <w:r>
        <w:rPr>
          <w:sz w:val="22"/>
          <w:szCs w:val="22"/>
        </w:rPr>
        <w:tab/>
      </w:r>
      <w:proofErr w:type="spellStart"/>
      <w:r>
        <w:rPr>
          <w:sz w:val="22"/>
          <w:szCs w:val="22"/>
        </w:rPr>
        <w:t>SENDCo</w:t>
      </w:r>
      <w:proofErr w:type="spellEnd"/>
    </w:p>
    <w:p>
      <w:pPr>
        <w:ind w:left="1440"/>
        <w:rPr>
          <w:sz w:val="22"/>
          <w:szCs w:val="22"/>
        </w:rPr>
      </w:pPr>
      <w:r>
        <w:rPr>
          <w:sz w:val="22"/>
          <w:szCs w:val="22"/>
        </w:rPr>
        <w:t>Organisation:</w:t>
      </w:r>
      <w:r>
        <w:rPr>
          <w:sz w:val="22"/>
          <w:szCs w:val="22"/>
        </w:rPr>
        <w:tab/>
      </w:r>
      <w:r>
        <w:rPr>
          <w:sz w:val="22"/>
          <w:szCs w:val="22"/>
        </w:rPr>
        <w:tab/>
        <w:t>Lincoln UTC</w:t>
      </w:r>
    </w:p>
    <w:p>
      <w:pPr>
        <w:ind w:left="720" w:firstLine="720"/>
        <w:rPr>
          <w:sz w:val="22"/>
          <w:szCs w:val="22"/>
        </w:rPr>
      </w:pPr>
      <w:r>
        <w:rPr>
          <w:sz w:val="22"/>
          <w:szCs w:val="22"/>
        </w:rPr>
        <w:t>Telephone:</w:t>
      </w:r>
      <w:r>
        <w:rPr>
          <w:sz w:val="22"/>
          <w:szCs w:val="22"/>
        </w:rPr>
        <w:tab/>
      </w:r>
      <w:r>
        <w:rPr>
          <w:sz w:val="22"/>
          <w:szCs w:val="22"/>
        </w:rPr>
        <w:tab/>
        <w:t>01522 775990</w:t>
      </w:r>
    </w:p>
    <w:p>
      <w:pPr>
        <w:ind w:left="720" w:firstLine="720"/>
        <w:rPr>
          <w:sz w:val="22"/>
          <w:szCs w:val="22"/>
        </w:rPr>
      </w:pPr>
      <w:r>
        <w:rPr>
          <w:sz w:val="22"/>
          <w:szCs w:val="22"/>
        </w:rPr>
        <w:t xml:space="preserve">E-mail: </w:t>
      </w:r>
      <w:r>
        <w:rPr>
          <w:sz w:val="22"/>
          <w:szCs w:val="22"/>
        </w:rPr>
        <w:tab/>
      </w:r>
      <w:r>
        <w:rPr>
          <w:sz w:val="22"/>
          <w:szCs w:val="22"/>
        </w:rPr>
        <w:tab/>
      </w:r>
      <w:hyperlink r:id="rId17" w:history="1">
        <w:r>
          <w:rPr>
            <w:rStyle w:val="Hyperlink"/>
            <w:sz w:val="22"/>
            <w:szCs w:val="22"/>
          </w:rPr>
          <w:t>clowe@lincolnutc.co.uk</w:t>
        </w:r>
      </w:hyperlink>
    </w:p>
    <w:p>
      <w:pPr>
        <w:ind w:left="720" w:firstLine="720"/>
        <w:rPr>
          <w:sz w:val="22"/>
          <w:szCs w:val="22"/>
        </w:rPr>
      </w:pPr>
    </w:p>
    <w:p>
      <w:pPr>
        <w:ind w:left="720" w:hanging="720"/>
        <w:jc w:val="both"/>
        <w:rPr>
          <w:sz w:val="22"/>
          <w:szCs w:val="22"/>
        </w:rPr>
      </w:pPr>
      <w:r>
        <w:rPr>
          <w:sz w:val="22"/>
          <w:szCs w:val="22"/>
        </w:rPr>
        <w:t>The Local Authority Virtual Head is:</w:t>
      </w:r>
    </w:p>
    <w:p>
      <w:pPr>
        <w:ind w:left="720" w:firstLine="720"/>
        <w:rPr>
          <w:sz w:val="22"/>
          <w:szCs w:val="22"/>
        </w:rPr>
      </w:pPr>
      <w:r>
        <w:rPr>
          <w:sz w:val="22"/>
          <w:szCs w:val="22"/>
        </w:rPr>
        <w:t xml:space="preserve">Name: </w:t>
      </w:r>
      <w:r>
        <w:rPr>
          <w:sz w:val="22"/>
          <w:szCs w:val="22"/>
        </w:rPr>
        <w:tab/>
      </w:r>
      <w:r>
        <w:rPr>
          <w:sz w:val="22"/>
          <w:szCs w:val="22"/>
        </w:rPr>
        <w:tab/>
      </w:r>
      <w:r>
        <w:rPr>
          <w:sz w:val="22"/>
          <w:szCs w:val="22"/>
        </w:rPr>
        <w:tab/>
        <w:t>Kieron Barnes</w:t>
      </w:r>
    </w:p>
    <w:p>
      <w:pPr>
        <w:ind w:left="720" w:firstLine="720"/>
        <w:rPr>
          <w:sz w:val="22"/>
          <w:szCs w:val="22"/>
        </w:rPr>
      </w:pPr>
      <w:r>
        <w:rPr>
          <w:sz w:val="22"/>
          <w:szCs w:val="22"/>
        </w:rPr>
        <w:t xml:space="preserve">Position: </w:t>
      </w:r>
      <w:r>
        <w:rPr>
          <w:sz w:val="22"/>
          <w:szCs w:val="22"/>
        </w:rPr>
        <w:tab/>
      </w:r>
      <w:r>
        <w:rPr>
          <w:sz w:val="22"/>
          <w:szCs w:val="22"/>
        </w:rPr>
        <w:tab/>
        <w:t>Virtual Head</w:t>
      </w:r>
    </w:p>
    <w:p>
      <w:pPr>
        <w:ind w:left="1440"/>
        <w:rPr>
          <w:sz w:val="22"/>
          <w:szCs w:val="22"/>
        </w:rPr>
      </w:pPr>
      <w:r>
        <w:rPr>
          <w:sz w:val="22"/>
          <w:szCs w:val="22"/>
        </w:rPr>
        <w:t>Organisation:</w:t>
      </w:r>
      <w:r>
        <w:rPr>
          <w:sz w:val="22"/>
          <w:szCs w:val="22"/>
        </w:rPr>
        <w:tab/>
      </w:r>
      <w:r>
        <w:rPr>
          <w:sz w:val="22"/>
          <w:szCs w:val="22"/>
        </w:rPr>
        <w:tab/>
        <w:t>Lincolnshire County Council</w:t>
      </w:r>
    </w:p>
    <w:p>
      <w:pPr>
        <w:ind w:left="720" w:firstLine="720"/>
        <w:rPr>
          <w:sz w:val="22"/>
          <w:szCs w:val="22"/>
        </w:rPr>
      </w:pPr>
      <w:r>
        <w:rPr>
          <w:sz w:val="22"/>
          <w:szCs w:val="22"/>
        </w:rPr>
        <w:t>Telephone:</w:t>
      </w:r>
      <w:r>
        <w:rPr>
          <w:sz w:val="22"/>
          <w:szCs w:val="22"/>
        </w:rPr>
        <w:tab/>
      </w:r>
      <w:r>
        <w:rPr>
          <w:sz w:val="22"/>
          <w:szCs w:val="22"/>
        </w:rPr>
        <w:tab/>
      </w:r>
      <w:r>
        <w:rPr>
          <w:sz w:val="22"/>
          <w:szCs w:val="22"/>
          <w:lang w:val="en"/>
        </w:rPr>
        <w:t>01522 550274</w:t>
      </w:r>
    </w:p>
    <w:p>
      <w:pPr>
        <w:ind w:left="720" w:firstLine="720"/>
        <w:rPr>
          <w:sz w:val="22"/>
          <w:szCs w:val="22"/>
          <w:lang w:val="en"/>
        </w:rPr>
      </w:pPr>
      <w:r>
        <w:rPr>
          <w:sz w:val="22"/>
          <w:szCs w:val="22"/>
        </w:rPr>
        <w:t xml:space="preserve">E-mail: </w:t>
      </w:r>
      <w:r>
        <w:rPr>
          <w:sz w:val="22"/>
          <w:szCs w:val="22"/>
        </w:rPr>
        <w:tab/>
      </w:r>
      <w:r>
        <w:rPr>
          <w:sz w:val="22"/>
          <w:szCs w:val="22"/>
        </w:rPr>
        <w:tab/>
      </w:r>
      <w:hyperlink r:id="rId18" w:tooltip="virtualschool@lincolnshire.gov.uk" w:history="1">
        <w:r>
          <w:rPr>
            <w:color w:val="0000FF"/>
            <w:sz w:val="22"/>
            <w:szCs w:val="22"/>
            <w:u w:val="single"/>
            <w:lang w:val="en"/>
          </w:rPr>
          <w:t>virtualschool@lincolnshire.gov.uk</w:t>
        </w:r>
      </w:hyperlink>
    </w:p>
    <w:p>
      <w:pPr>
        <w:ind w:left="720" w:firstLine="720"/>
        <w:rPr>
          <w:sz w:val="22"/>
          <w:szCs w:val="22"/>
        </w:rPr>
      </w:pPr>
    </w:p>
    <w:p>
      <w:pPr>
        <w:ind w:left="720" w:firstLine="720"/>
        <w:rPr>
          <w:sz w:val="22"/>
          <w:szCs w:val="22"/>
        </w:rPr>
      </w:pPr>
    </w:p>
    <w:p>
      <w:pPr>
        <w:pStyle w:val="PlainText"/>
        <w:jc w:val="both"/>
        <w:rPr>
          <w:rFonts w:ascii="Arial" w:hAnsi="Arial" w:cs="Arial"/>
          <w:sz w:val="22"/>
          <w:szCs w:val="22"/>
        </w:rPr>
      </w:pPr>
      <w:r>
        <w:rPr>
          <w:rFonts w:ascii="Arial" w:hAnsi="Arial" w:cs="Arial"/>
          <w:sz w:val="22"/>
          <w:szCs w:val="22"/>
        </w:rPr>
        <w:t>NSPCC Whistleblowing helpline</w:t>
      </w:r>
      <w:r>
        <w:rPr>
          <w:rFonts w:ascii="Arial" w:hAnsi="Arial" w:cs="Arial"/>
          <w:caps/>
          <w:sz w:val="22"/>
          <w:szCs w:val="22"/>
        </w:rPr>
        <w:t xml:space="preserve">:  0800 028 0285 </w:t>
      </w:r>
      <w:r>
        <w:rPr>
          <w:rFonts w:ascii="Arial" w:hAnsi="Arial" w:cs="Arial"/>
          <w:sz w:val="22"/>
          <w:szCs w:val="22"/>
        </w:rPr>
        <w:t>or help@nspcc.org.uk</w:t>
      </w:r>
    </w:p>
    <w:p>
      <w:pPr>
        <w:pStyle w:val="PlainText"/>
        <w:jc w:val="both"/>
        <w:rPr>
          <w:rFonts w:ascii="Arial" w:hAnsi="Arial" w:cs="Arial"/>
          <w:b/>
          <w:sz w:val="22"/>
          <w:szCs w:val="22"/>
        </w:rPr>
      </w:pPr>
      <w:r>
        <w:rPr>
          <w:rFonts w:ascii="Arial" w:hAnsi="Arial" w:cs="Arial"/>
          <w:b/>
          <w:caps/>
          <w:sz w:val="22"/>
          <w:szCs w:val="22"/>
        </w:rPr>
        <w:lastRenderedPageBreak/>
        <w:t>3. AIM</w:t>
      </w:r>
    </w:p>
    <w:p>
      <w:pPr>
        <w:pStyle w:val="PlainText"/>
        <w:ind w:left="720"/>
        <w:jc w:val="both"/>
        <w:rPr>
          <w:rFonts w:ascii="Arial" w:hAnsi="Arial" w:cs="Arial"/>
          <w:b/>
          <w:sz w:val="22"/>
          <w:szCs w:val="22"/>
        </w:rPr>
      </w:pPr>
    </w:p>
    <w:p>
      <w:pPr>
        <w:jc w:val="both"/>
        <w:rPr>
          <w:sz w:val="22"/>
          <w:szCs w:val="22"/>
        </w:rPr>
      </w:pPr>
      <w:r>
        <w:rPr>
          <w:sz w:val="22"/>
          <w:szCs w:val="22"/>
        </w:rPr>
        <w:t>This policy statement aims to:</w:t>
      </w:r>
    </w:p>
    <w:p>
      <w:pPr>
        <w:pStyle w:val="Default"/>
        <w:numPr>
          <w:ilvl w:val="0"/>
          <w:numId w:val="2"/>
        </w:numPr>
        <w:spacing w:after="44"/>
        <w:rPr>
          <w:rFonts w:ascii="Arial" w:hAnsi="Arial" w:cs="Arial"/>
          <w:sz w:val="22"/>
          <w:szCs w:val="22"/>
        </w:rPr>
      </w:pPr>
      <w:r>
        <w:rPr>
          <w:rFonts w:ascii="Arial" w:hAnsi="Arial" w:cs="Arial"/>
          <w:sz w:val="22"/>
          <w:szCs w:val="22"/>
        </w:rPr>
        <w:t>provide clear direction to staff and others about responsibilities and expected codes of behaviour in dealing with safeguarding and young person protection issues</w:t>
      </w:r>
    </w:p>
    <w:p>
      <w:pPr>
        <w:pStyle w:val="Default"/>
        <w:numPr>
          <w:ilvl w:val="0"/>
          <w:numId w:val="2"/>
        </w:numPr>
        <w:spacing w:after="44"/>
        <w:rPr>
          <w:rFonts w:ascii="Arial" w:hAnsi="Arial" w:cs="Arial"/>
          <w:sz w:val="22"/>
          <w:szCs w:val="22"/>
        </w:rPr>
      </w:pPr>
      <w:r>
        <w:rPr>
          <w:rFonts w:ascii="Arial" w:hAnsi="Arial" w:cs="Arial"/>
          <w:sz w:val="22"/>
          <w:szCs w:val="22"/>
        </w:rPr>
        <w:t>to make explicit the UTC’s commitment to the development of good practice and sound procedures</w:t>
      </w:r>
    </w:p>
    <w:p>
      <w:pPr>
        <w:pStyle w:val="Default"/>
        <w:numPr>
          <w:ilvl w:val="0"/>
          <w:numId w:val="2"/>
        </w:numPr>
        <w:rPr>
          <w:rFonts w:ascii="Arial" w:hAnsi="Arial" w:cs="Arial"/>
          <w:sz w:val="22"/>
          <w:szCs w:val="22"/>
        </w:rPr>
      </w:pPr>
      <w:r>
        <w:rPr>
          <w:rFonts w:ascii="Arial" w:hAnsi="Arial" w:cs="Arial"/>
          <w:sz w:val="22"/>
          <w:szCs w:val="22"/>
        </w:rPr>
        <w:t>ensure that young person protection concerns and referrals are handled sensitively, professionally and in ways that suppo</w:t>
      </w:r>
      <w:bookmarkStart w:id="0" w:name="_GoBack"/>
      <w:bookmarkEnd w:id="0"/>
      <w:r>
        <w:rPr>
          <w:rFonts w:ascii="Arial" w:hAnsi="Arial" w:cs="Arial"/>
          <w:sz w:val="22"/>
          <w:szCs w:val="22"/>
        </w:rPr>
        <w:t xml:space="preserve">rt the needs of the young person </w:t>
      </w:r>
    </w:p>
    <w:p>
      <w:pPr>
        <w:pStyle w:val="Default"/>
        <w:numPr>
          <w:ilvl w:val="0"/>
          <w:numId w:val="2"/>
        </w:numPr>
        <w:spacing w:after="44"/>
        <w:rPr>
          <w:rFonts w:ascii="Arial" w:hAnsi="Arial" w:cs="Arial"/>
          <w:sz w:val="22"/>
          <w:szCs w:val="22"/>
        </w:rPr>
      </w:pPr>
      <w:r>
        <w:rPr>
          <w:rFonts w:ascii="Arial" w:hAnsi="Arial" w:cs="Arial"/>
          <w:sz w:val="22"/>
          <w:szCs w:val="22"/>
        </w:rPr>
        <w:t>ensure we practice safe recruitment in checking the suitability of staff and volunteers to work with young people</w:t>
      </w:r>
    </w:p>
    <w:p>
      <w:pPr>
        <w:pStyle w:val="Default"/>
        <w:numPr>
          <w:ilvl w:val="0"/>
          <w:numId w:val="2"/>
        </w:numPr>
        <w:spacing w:after="44"/>
        <w:rPr>
          <w:rFonts w:ascii="Arial" w:hAnsi="Arial" w:cs="Arial"/>
          <w:sz w:val="22"/>
          <w:szCs w:val="22"/>
        </w:rPr>
      </w:pPr>
      <w:r>
        <w:rPr>
          <w:rFonts w:ascii="Arial" w:hAnsi="Arial" w:cs="Arial"/>
          <w:sz w:val="22"/>
          <w:szCs w:val="22"/>
        </w:rPr>
        <w:t xml:space="preserve">raise awareness of young person protection issues and equipping young people with the skills needed to keep them safe </w:t>
      </w:r>
    </w:p>
    <w:p>
      <w:pPr>
        <w:pStyle w:val="Default"/>
        <w:numPr>
          <w:ilvl w:val="0"/>
          <w:numId w:val="2"/>
        </w:numPr>
        <w:spacing w:after="44"/>
        <w:rPr>
          <w:rFonts w:ascii="Arial" w:hAnsi="Arial" w:cs="Arial"/>
          <w:sz w:val="22"/>
          <w:szCs w:val="22"/>
        </w:rPr>
      </w:pPr>
      <w:r>
        <w:rPr>
          <w:rFonts w:ascii="Arial" w:hAnsi="Arial" w:cs="Arial"/>
          <w:sz w:val="22"/>
          <w:szCs w:val="22"/>
        </w:rPr>
        <w:t>develop and then implement procedures for identifying and reporting cases, or suspected cases of abuse</w:t>
      </w:r>
    </w:p>
    <w:p>
      <w:pPr>
        <w:pStyle w:val="Default"/>
        <w:numPr>
          <w:ilvl w:val="0"/>
          <w:numId w:val="2"/>
        </w:numPr>
        <w:spacing w:after="44"/>
        <w:rPr>
          <w:rFonts w:ascii="Arial" w:hAnsi="Arial" w:cs="Arial"/>
          <w:sz w:val="22"/>
          <w:szCs w:val="22"/>
        </w:rPr>
      </w:pPr>
      <w:r>
        <w:rPr>
          <w:rFonts w:ascii="Arial" w:hAnsi="Arial" w:cs="Arial"/>
          <w:sz w:val="22"/>
          <w:szCs w:val="22"/>
        </w:rPr>
        <w:t xml:space="preserve">support learners who have been abused in accordance with his/her agreed young person protection plan </w:t>
      </w:r>
    </w:p>
    <w:p>
      <w:pPr>
        <w:pStyle w:val="Default"/>
        <w:numPr>
          <w:ilvl w:val="0"/>
          <w:numId w:val="2"/>
        </w:numPr>
        <w:rPr>
          <w:rFonts w:ascii="Arial" w:hAnsi="Arial" w:cs="Arial"/>
          <w:sz w:val="22"/>
          <w:szCs w:val="22"/>
        </w:rPr>
      </w:pPr>
      <w:proofErr w:type="gramStart"/>
      <w:r>
        <w:rPr>
          <w:rFonts w:ascii="Arial" w:hAnsi="Arial" w:cs="Arial"/>
          <w:sz w:val="22"/>
          <w:szCs w:val="22"/>
        </w:rPr>
        <w:t>establish</w:t>
      </w:r>
      <w:proofErr w:type="gramEnd"/>
      <w:r>
        <w:rPr>
          <w:rFonts w:ascii="Arial" w:hAnsi="Arial" w:cs="Arial"/>
          <w:sz w:val="22"/>
          <w:szCs w:val="22"/>
        </w:rPr>
        <w:t xml:space="preserve"> a safe environment in which young people can learn and develop.</w:t>
      </w:r>
    </w:p>
    <w:p>
      <w:pPr>
        <w:pStyle w:val="PlainText"/>
        <w:ind w:left="1429"/>
        <w:jc w:val="both"/>
        <w:rPr>
          <w:rFonts w:ascii="Arial" w:hAnsi="Arial" w:cs="Arial"/>
          <w:sz w:val="22"/>
          <w:szCs w:val="22"/>
        </w:rPr>
      </w:pPr>
    </w:p>
    <w:p>
      <w:pPr>
        <w:pStyle w:val="PlainText"/>
        <w:jc w:val="both"/>
        <w:rPr>
          <w:rFonts w:ascii="Arial" w:hAnsi="Arial" w:cs="Arial"/>
          <w:b/>
          <w:sz w:val="22"/>
          <w:szCs w:val="22"/>
        </w:rPr>
      </w:pPr>
      <w:r>
        <w:rPr>
          <w:rFonts w:ascii="Arial" w:hAnsi="Arial" w:cs="Arial"/>
          <w:b/>
          <w:caps/>
          <w:sz w:val="22"/>
          <w:szCs w:val="22"/>
        </w:rPr>
        <w:t>4. definitions of abuse</w:t>
      </w:r>
    </w:p>
    <w:p>
      <w:pPr>
        <w:pStyle w:val="PlainText"/>
        <w:ind w:left="720"/>
        <w:jc w:val="both"/>
        <w:rPr>
          <w:rFonts w:ascii="Arial" w:hAnsi="Arial" w:cs="Arial"/>
          <w:b/>
          <w:sz w:val="22"/>
          <w:szCs w:val="22"/>
        </w:rPr>
      </w:pPr>
    </w:p>
    <w:p>
      <w:pPr>
        <w:jc w:val="both"/>
        <w:rPr>
          <w:sz w:val="22"/>
          <w:szCs w:val="22"/>
        </w:rPr>
      </w:pPr>
      <w:r>
        <w:rPr>
          <w:sz w:val="22"/>
          <w:szCs w:val="22"/>
        </w:rPr>
        <w:t>Lincoln UTC recognises the following as definitions of abuse:</w:t>
      </w:r>
    </w:p>
    <w:p>
      <w:pPr>
        <w:pStyle w:val="BodyText"/>
        <w:widowControl w:val="0"/>
        <w:tabs>
          <w:tab w:val="left" w:pos="824"/>
        </w:tabs>
        <w:spacing w:before="238" w:after="0" w:line="288" w:lineRule="auto"/>
        <w:ind w:left="720" w:right="132"/>
        <w:jc w:val="both"/>
        <w:rPr>
          <w:sz w:val="22"/>
          <w:szCs w:val="22"/>
        </w:rPr>
      </w:pPr>
      <w:r>
        <w:rPr>
          <w:b/>
          <w:spacing w:val="-1"/>
          <w:sz w:val="22"/>
          <w:szCs w:val="22"/>
        </w:rPr>
        <w:t>Abuse</w:t>
      </w:r>
      <w:r>
        <w:rPr>
          <w:spacing w:val="-1"/>
          <w:sz w:val="22"/>
          <w:szCs w:val="22"/>
        </w:rPr>
        <w:t>:</w:t>
      </w:r>
      <w:r>
        <w:rPr>
          <w:sz w:val="22"/>
          <w:szCs w:val="22"/>
        </w:rPr>
        <w:t xml:space="preserve"> a form of </w:t>
      </w:r>
      <w:r>
        <w:rPr>
          <w:spacing w:val="-1"/>
          <w:sz w:val="22"/>
          <w:szCs w:val="22"/>
        </w:rPr>
        <w:t>maltreatment</w:t>
      </w:r>
      <w:r>
        <w:rPr>
          <w:sz w:val="22"/>
          <w:szCs w:val="22"/>
        </w:rPr>
        <w:t xml:space="preserve"> of a </w:t>
      </w:r>
      <w:r>
        <w:rPr>
          <w:spacing w:val="-1"/>
          <w:sz w:val="22"/>
          <w:szCs w:val="22"/>
        </w:rPr>
        <w:t>child.</w:t>
      </w:r>
      <w:r>
        <w:rPr>
          <w:sz w:val="22"/>
          <w:szCs w:val="22"/>
        </w:rPr>
        <w:t xml:space="preserve"> </w:t>
      </w:r>
      <w:r>
        <w:rPr>
          <w:spacing w:val="-1"/>
          <w:sz w:val="22"/>
          <w:szCs w:val="22"/>
        </w:rPr>
        <w:t>Somebody</w:t>
      </w:r>
      <w:r>
        <w:rPr>
          <w:sz w:val="22"/>
          <w:szCs w:val="22"/>
        </w:rPr>
        <w:t xml:space="preserve"> may </w:t>
      </w:r>
      <w:r>
        <w:rPr>
          <w:spacing w:val="-1"/>
          <w:sz w:val="22"/>
          <w:szCs w:val="22"/>
        </w:rPr>
        <w:t>abuse</w:t>
      </w:r>
      <w:r>
        <w:rPr>
          <w:sz w:val="22"/>
          <w:szCs w:val="22"/>
        </w:rPr>
        <w:t xml:space="preserve"> or </w:t>
      </w:r>
      <w:r>
        <w:rPr>
          <w:spacing w:val="-1"/>
          <w:sz w:val="22"/>
          <w:szCs w:val="22"/>
        </w:rPr>
        <w:t>neglect</w:t>
      </w:r>
      <w:r>
        <w:rPr>
          <w:sz w:val="22"/>
          <w:szCs w:val="22"/>
        </w:rPr>
        <w:t xml:space="preserve"> a</w:t>
      </w:r>
      <w:r>
        <w:rPr>
          <w:spacing w:val="-1"/>
          <w:sz w:val="22"/>
          <w:szCs w:val="22"/>
        </w:rPr>
        <w:t xml:space="preserve"> child</w:t>
      </w:r>
      <w:r>
        <w:rPr>
          <w:spacing w:val="81"/>
          <w:sz w:val="22"/>
          <w:szCs w:val="22"/>
        </w:rPr>
        <w:t xml:space="preserve"> </w:t>
      </w:r>
      <w:r>
        <w:rPr>
          <w:sz w:val="22"/>
          <w:szCs w:val="22"/>
        </w:rPr>
        <w:t xml:space="preserve">by </w:t>
      </w:r>
      <w:r>
        <w:rPr>
          <w:spacing w:val="-1"/>
          <w:sz w:val="22"/>
          <w:szCs w:val="22"/>
        </w:rPr>
        <w:t>inflicting</w:t>
      </w:r>
      <w:r>
        <w:rPr>
          <w:spacing w:val="1"/>
          <w:sz w:val="22"/>
          <w:szCs w:val="22"/>
        </w:rPr>
        <w:t xml:space="preserve"> </w:t>
      </w:r>
      <w:r>
        <w:rPr>
          <w:sz w:val="22"/>
          <w:szCs w:val="22"/>
        </w:rPr>
        <w:t xml:space="preserve">harm, or </w:t>
      </w:r>
      <w:r>
        <w:rPr>
          <w:spacing w:val="-1"/>
          <w:sz w:val="22"/>
          <w:szCs w:val="22"/>
        </w:rPr>
        <w:t>by</w:t>
      </w:r>
      <w:r>
        <w:rPr>
          <w:sz w:val="22"/>
          <w:szCs w:val="22"/>
        </w:rPr>
        <w:t xml:space="preserve"> </w:t>
      </w:r>
      <w:r>
        <w:rPr>
          <w:spacing w:val="-1"/>
          <w:sz w:val="22"/>
          <w:szCs w:val="22"/>
        </w:rPr>
        <w:t>failing</w:t>
      </w:r>
      <w:r>
        <w:rPr>
          <w:sz w:val="22"/>
          <w:szCs w:val="22"/>
        </w:rPr>
        <w:t xml:space="preserve"> to act to </w:t>
      </w:r>
      <w:r>
        <w:rPr>
          <w:spacing w:val="-1"/>
          <w:sz w:val="22"/>
          <w:szCs w:val="22"/>
        </w:rPr>
        <w:t>prevent</w:t>
      </w:r>
      <w:r>
        <w:rPr>
          <w:sz w:val="22"/>
          <w:szCs w:val="22"/>
        </w:rPr>
        <w:t xml:space="preserve"> harm. </w:t>
      </w:r>
      <w:r>
        <w:rPr>
          <w:spacing w:val="-1"/>
          <w:sz w:val="22"/>
          <w:szCs w:val="22"/>
        </w:rPr>
        <w:t>They</w:t>
      </w:r>
      <w:r>
        <w:rPr>
          <w:sz w:val="22"/>
          <w:szCs w:val="22"/>
        </w:rPr>
        <w:t xml:space="preserve"> may be </w:t>
      </w:r>
      <w:r>
        <w:rPr>
          <w:spacing w:val="-1"/>
          <w:sz w:val="22"/>
          <w:szCs w:val="22"/>
        </w:rPr>
        <w:t>abused</w:t>
      </w:r>
      <w:r>
        <w:rPr>
          <w:sz w:val="22"/>
          <w:szCs w:val="22"/>
        </w:rPr>
        <w:t xml:space="preserve"> by an </w:t>
      </w:r>
      <w:r>
        <w:rPr>
          <w:spacing w:val="-1"/>
          <w:sz w:val="22"/>
          <w:szCs w:val="22"/>
        </w:rPr>
        <w:t>adult</w:t>
      </w:r>
      <w:r>
        <w:rPr>
          <w:sz w:val="22"/>
          <w:szCs w:val="22"/>
        </w:rPr>
        <w:t xml:space="preserve"> or</w:t>
      </w:r>
      <w:r>
        <w:rPr>
          <w:spacing w:val="61"/>
          <w:sz w:val="22"/>
          <w:szCs w:val="22"/>
        </w:rPr>
        <w:t xml:space="preserve"> </w:t>
      </w:r>
      <w:r>
        <w:rPr>
          <w:spacing w:val="-1"/>
          <w:sz w:val="22"/>
          <w:szCs w:val="22"/>
        </w:rPr>
        <w:t>adults</w:t>
      </w:r>
      <w:r>
        <w:rPr>
          <w:sz w:val="22"/>
          <w:szCs w:val="22"/>
        </w:rPr>
        <w:t xml:space="preserve"> or </w:t>
      </w:r>
      <w:r>
        <w:rPr>
          <w:spacing w:val="-1"/>
          <w:sz w:val="22"/>
          <w:szCs w:val="22"/>
        </w:rPr>
        <w:t>another</w:t>
      </w:r>
      <w:r>
        <w:rPr>
          <w:sz w:val="22"/>
          <w:szCs w:val="22"/>
        </w:rPr>
        <w:t xml:space="preserve"> </w:t>
      </w:r>
      <w:r>
        <w:rPr>
          <w:spacing w:val="-1"/>
          <w:sz w:val="22"/>
          <w:szCs w:val="22"/>
        </w:rPr>
        <w:t>child</w:t>
      </w:r>
      <w:r>
        <w:rPr>
          <w:sz w:val="22"/>
          <w:szCs w:val="22"/>
        </w:rPr>
        <w:t xml:space="preserve"> or </w:t>
      </w:r>
      <w:r>
        <w:rPr>
          <w:spacing w:val="-1"/>
          <w:sz w:val="22"/>
          <w:szCs w:val="22"/>
        </w:rPr>
        <w:t>children.</w:t>
      </w:r>
    </w:p>
    <w:p>
      <w:pPr>
        <w:spacing w:before="1"/>
        <w:rPr>
          <w:rFonts w:eastAsia="Arial"/>
          <w:sz w:val="22"/>
          <w:szCs w:val="22"/>
        </w:rPr>
      </w:pPr>
    </w:p>
    <w:p>
      <w:pPr>
        <w:pStyle w:val="BodyText"/>
        <w:widowControl w:val="0"/>
        <w:tabs>
          <w:tab w:val="left" w:pos="824"/>
        </w:tabs>
        <w:spacing w:after="0" w:line="287" w:lineRule="auto"/>
        <w:ind w:left="720" w:right="188"/>
        <w:rPr>
          <w:sz w:val="22"/>
          <w:szCs w:val="22"/>
        </w:rPr>
      </w:pPr>
      <w:r>
        <w:rPr>
          <w:b/>
          <w:spacing w:val="-1"/>
          <w:sz w:val="22"/>
          <w:szCs w:val="22"/>
        </w:rPr>
        <w:t>Physical</w:t>
      </w:r>
      <w:r>
        <w:rPr>
          <w:b/>
          <w:sz w:val="22"/>
          <w:szCs w:val="22"/>
        </w:rPr>
        <w:t xml:space="preserve"> </w:t>
      </w:r>
      <w:r>
        <w:rPr>
          <w:b/>
          <w:spacing w:val="-1"/>
          <w:sz w:val="22"/>
          <w:szCs w:val="22"/>
        </w:rPr>
        <w:t>abuse</w:t>
      </w:r>
      <w:r>
        <w:rPr>
          <w:spacing w:val="-1"/>
          <w:sz w:val="22"/>
          <w:szCs w:val="22"/>
        </w:rPr>
        <w:t>:</w:t>
      </w:r>
      <w:r>
        <w:rPr>
          <w:sz w:val="22"/>
          <w:szCs w:val="22"/>
        </w:rPr>
        <w:t xml:space="preserve"> a </w:t>
      </w:r>
      <w:r>
        <w:rPr>
          <w:spacing w:val="-1"/>
          <w:sz w:val="22"/>
          <w:szCs w:val="22"/>
        </w:rPr>
        <w:t>form</w:t>
      </w:r>
      <w:r>
        <w:rPr>
          <w:sz w:val="22"/>
          <w:szCs w:val="22"/>
        </w:rPr>
        <w:t xml:space="preserve"> of </w:t>
      </w:r>
      <w:r>
        <w:rPr>
          <w:spacing w:val="-1"/>
          <w:sz w:val="22"/>
          <w:szCs w:val="22"/>
        </w:rPr>
        <w:t>abuse</w:t>
      </w:r>
      <w:r>
        <w:rPr>
          <w:spacing w:val="-2"/>
          <w:sz w:val="22"/>
          <w:szCs w:val="22"/>
        </w:rPr>
        <w:t xml:space="preserve"> </w:t>
      </w:r>
      <w:r>
        <w:rPr>
          <w:spacing w:val="-1"/>
          <w:sz w:val="22"/>
          <w:szCs w:val="22"/>
        </w:rPr>
        <w:t>which</w:t>
      </w:r>
      <w:r>
        <w:rPr>
          <w:sz w:val="22"/>
          <w:szCs w:val="22"/>
        </w:rPr>
        <w:t xml:space="preserve"> may </w:t>
      </w:r>
      <w:r>
        <w:rPr>
          <w:spacing w:val="-1"/>
          <w:sz w:val="22"/>
          <w:szCs w:val="22"/>
        </w:rPr>
        <w:t>involve</w:t>
      </w:r>
      <w:r>
        <w:rPr>
          <w:sz w:val="22"/>
          <w:szCs w:val="22"/>
        </w:rPr>
        <w:t xml:space="preserve"> hitting, shaking, </w:t>
      </w:r>
      <w:r>
        <w:rPr>
          <w:spacing w:val="-1"/>
          <w:sz w:val="22"/>
          <w:szCs w:val="22"/>
        </w:rPr>
        <w:t>throwing,</w:t>
      </w:r>
      <w:r>
        <w:rPr>
          <w:spacing w:val="75"/>
          <w:sz w:val="22"/>
          <w:szCs w:val="22"/>
        </w:rPr>
        <w:t xml:space="preserve"> </w:t>
      </w:r>
      <w:r>
        <w:rPr>
          <w:spacing w:val="-1"/>
          <w:sz w:val="22"/>
          <w:szCs w:val="22"/>
        </w:rPr>
        <w:t>poisoning,</w:t>
      </w:r>
      <w:r>
        <w:rPr>
          <w:sz w:val="22"/>
          <w:szCs w:val="22"/>
        </w:rPr>
        <w:t xml:space="preserve"> </w:t>
      </w:r>
      <w:r>
        <w:rPr>
          <w:spacing w:val="-1"/>
          <w:sz w:val="22"/>
          <w:szCs w:val="22"/>
        </w:rPr>
        <w:t>burning</w:t>
      </w:r>
      <w:r>
        <w:rPr>
          <w:sz w:val="22"/>
          <w:szCs w:val="22"/>
        </w:rPr>
        <w:t xml:space="preserve"> or </w:t>
      </w:r>
      <w:r>
        <w:rPr>
          <w:spacing w:val="-1"/>
          <w:sz w:val="22"/>
          <w:szCs w:val="22"/>
        </w:rPr>
        <w:t>scalding,</w:t>
      </w:r>
      <w:r>
        <w:rPr>
          <w:sz w:val="22"/>
          <w:szCs w:val="22"/>
        </w:rPr>
        <w:t xml:space="preserve"> drowning, suffocating or </w:t>
      </w:r>
      <w:r>
        <w:rPr>
          <w:spacing w:val="-1"/>
          <w:sz w:val="22"/>
          <w:szCs w:val="22"/>
        </w:rPr>
        <w:t>otherwise</w:t>
      </w:r>
      <w:r>
        <w:rPr>
          <w:sz w:val="22"/>
          <w:szCs w:val="22"/>
        </w:rPr>
        <w:t xml:space="preserve"> </w:t>
      </w:r>
      <w:r>
        <w:rPr>
          <w:spacing w:val="-1"/>
          <w:sz w:val="22"/>
          <w:szCs w:val="22"/>
        </w:rPr>
        <w:t>causing</w:t>
      </w:r>
      <w:r>
        <w:rPr>
          <w:sz w:val="22"/>
          <w:szCs w:val="22"/>
        </w:rPr>
        <w:t xml:space="preserve"> </w:t>
      </w:r>
      <w:r>
        <w:rPr>
          <w:spacing w:val="-1"/>
          <w:sz w:val="22"/>
          <w:szCs w:val="22"/>
        </w:rPr>
        <w:t>physical</w:t>
      </w:r>
      <w:r>
        <w:rPr>
          <w:sz w:val="22"/>
          <w:szCs w:val="22"/>
        </w:rPr>
        <w:t xml:space="preserve"> harm</w:t>
      </w:r>
      <w:r>
        <w:rPr>
          <w:spacing w:val="87"/>
          <w:sz w:val="22"/>
          <w:szCs w:val="22"/>
        </w:rPr>
        <w:t xml:space="preserve"> </w:t>
      </w:r>
      <w:r>
        <w:rPr>
          <w:sz w:val="22"/>
          <w:szCs w:val="22"/>
        </w:rPr>
        <w:t xml:space="preserve">to a </w:t>
      </w:r>
      <w:r>
        <w:rPr>
          <w:spacing w:val="-1"/>
          <w:sz w:val="22"/>
          <w:szCs w:val="22"/>
        </w:rPr>
        <w:t>child.</w:t>
      </w:r>
      <w:r>
        <w:rPr>
          <w:sz w:val="22"/>
          <w:szCs w:val="22"/>
        </w:rPr>
        <w:t xml:space="preserve"> </w:t>
      </w:r>
      <w:r>
        <w:rPr>
          <w:spacing w:val="-1"/>
          <w:sz w:val="22"/>
          <w:szCs w:val="22"/>
        </w:rPr>
        <w:t>Physical</w:t>
      </w:r>
      <w:r>
        <w:rPr>
          <w:sz w:val="22"/>
          <w:szCs w:val="22"/>
        </w:rPr>
        <w:t xml:space="preserve"> harm may </w:t>
      </w:r>
      <w:r>
        <w:rPr>
          <w:spacing w:val="-1"/>
          <w:sz w:val="22"/>
          <w:szCs w:val="22"/>
        </w:rPr>
        <w:t>also</w:t>
      </w:r>
      <w:r>
        <w:rPr>
          <w:sz w:val="22"/>
          <w:szCs w:val="22"/>
        </w:rPr>
        <w:t xml:space="preserve"> be caused</w:t>
      </w:r>
      <w:r>
        <w:rPr>
          <w:spacing w:val="-1"/>
          <w:sz w:val="22"/>
          <w:szCs w:val="22"/>
        </w:rPr>
        <w:t xml:space="preserve"> </w:t>
      </w:r>
      <w:r>
        <w:rPr>
          <w:sz w:val="22"/>
          <w:szCs w:val="22"/>
        </w:rPr>
        <w:t>when</w:t>
      </w:r>
      <w:r>
        <w:rPr>
          <w:spacing w:val="-1"/>
          <w:sz w:val="22"/>
          <w:szCs w:val="22"/>
        </w:rPr>
        <w:t xml:space="preserve"> </w:t>
      </w:r>
      <w:r>
        <w:rPr>
          <w:sz w:val="22"/>
          <w:szCs w:val="22"/>
        </w:rPr>
        <w:t xml:space="preserve">a parent or </w:t>
      </w:r>
      <w:r>
        <w:rPr>
          <w:spacing w:val="-1"/>
          <w:sz w:val="22"/>
          <w:szCs w:val="22"/>
        </w:rPr>
        <w:t>carer</w:t>
      </w:r>
      <w:r>
        <w:rPr>
          <w:sz w:val="22"/>
          <w:szCs w:val="22"/>
        </w:rPr>
        <w:t xml:space="preserve"> </w:t>
      </w:r>
      <w:r>
        <w:rPr>
          <w:spacing w:val="-1"/>
          <w:sz w:val="22"/>
          <w:szCs w:val="22"/>
        </w:rPr>
        <w:t>fabricates</w:t>
      </w:r>
      <w:r>
        <w:rPr>
          <w:sz w:val="22"/>
          <w:szCs w:val="22"/>
        </w:rPr>
        <w:t xml:space="preserve"> the</w:t>
      </w:r>
      <w:r>
        <w:rPr>
          <w:spacing w:val="55"/>
          <w:sz w:val="22"/>
          <w:szCs w:val="22"/>
        </w:rPr>
        <w:t xml:space="preserve"> </w:t>
      </w:r>
      <w:r>
        <w:rPr>
          <w:sz w:val="22"/>
          <w:szCs w:val="22"/>
        </w:rPr>
        <w:t xml:space="preserve">symptoms of, or </w:t>
      </w:r>
      <w:r>
        <w:rPr>
          <w:spacing w:val="-1"/>
          <w:sz w:val="22"/>
          <w:szCs w:val="22"/>
        </w:rPr>
        <w:t>deliberately</w:t>
      </w:r>
      <w:r>
        <w:rPr>
          <w:sz w:val="22"/>
          <w:szCs w:val="22"/>
        </w:rPr>
        <w:t xml:space="preserve"> </w:t>
      </w:r>
      <w:r>
        <w:rPr>
          <w:spacing w:val="-1"/>
          <w:sz w:val="22"/>
          <w:szCs w:val="22"/>
        </w:rPr>
        <w:t>induces,</w:t>
      </w:r>
      <w:r>
        <w:rPr>
          <w:sz w:val="22"/>
          <w:szCs w:val="22"/>
        </w:rPr>
        <w:t xml:space="preserve"> </w:t>
      </w:r>
      <w:r>
        <w:rPr>
          <w:spacing w:val="-1"/>
          <w:sz w:val="22"/>
          <w:szCs w:val="22"/>
        </w:rPr>
        <w:t>illness</w:t>
      </w:r>
      <w:r>
        <w:rPr>
          <w:sz w:val="22"/>
          <w:szCs w:val="22"/>
        </w:rPr>
        <w:t xml:space="preserve"> in a </w:t>
      </w:r>
      <w:r>
        <w:rPr>
          <w:spacing w:val="-1"/>
          <w:sz w:val="22"/>
          <w:szCs w:val="22"/>
        </w:rPr>
        <w:t>child.</w:t>
      </w:r>
    </w:p>
    <w:p>
      <w:pPr>
        <w:rPr>
          <w:rFonts w:eastAsia="Arial"/>
          <w:sz w:val="22"/>
          <w:szCs w:val="22"/>
        </w:rPr>
      </w:pPr>
    </w:p>
    <w:p>
      <w:pPr>
        <w:pStyle w:val="BodyText"/>
        <w:widowControl w:val="0"/>
        <w:tabs>
          <w:tab w:val="left" w:pos="824"/>
        </w:tabs>
        <w:spacing w:after="0" w:line="288" w:lineRule="auto"/>
        <w:ind w:left="720" w:right="199"/>
        <w:rPr>
          <w:spacing w:val="-1"/>
          <w:sz w:val="22"/>
          <w:szCs w:val="22"/>
        </w:rPr>
      </w:pPr>
      <w:r>
        <w:rPr>
          <w:rFonts w:eastAsia="Arial"/>
          <w:b/>
          <w:bCs/>
          <w:sz w:val="22"/>
          <w:szCs w:val="22"/>
        </w:rPr>
        <w:t xml:space="preserve">Emotional </w:t>
      </w:r>
      <w:r>
        <w:rPr>
          <w:rFonts w:eastAsia="Arial"/>
          <w:b/>
          <w:bCs/>
          <w:spacing w:val="-1"/>
          <w:sz w:val="22"/>
          <w:szCs w:val="22"/>
        </w:rPr>
        <w:t>abuse</w:t>
      </w:r>
      <w:r>
        <w:rPr>
          <w:spacing w:val="-1"/>
          <w:sz w:val="22"/>
          <w:szCs w:val="22"/>
        </w:rPr>
        <w:t>:</w:t>
      </w:r>
      <w:r>
        <w:rPr>
          <w:sz w:val="22"/>
          <w:szCs w:val="22"/>
        </w:rPr>
        <w:t xml:space="preserve"> the persistent emotional </w:t>
      </w:r>
      <w:r>
        <w:rPr>
          <w:spacing w:val="-1"/>
          <w:sz w:val="22"/>
          <w:szCs w:val="22"/>
        </w:rPr>
        <w:t>maltreatment</w:t>
      </w:r>
      <w:r>
        <w:rPr>
          <w:sz w:val="22"/>
          <w:szCs w:val="22"/>
        </w:rPr>
        <w:t xml:space="preserve"> of a</w:t>
      </w:r>
      <w:r>
        <w:rPr>
          <w:spacing w:val="-2"/>
          <w:sz w:val="22"/>
          <w:szCs w:val="22"/>
        </w:rPr>
        <w:t xml:space="preserve"> </w:t>
      </w:r>
      <w:r>
        <w:rPr>
          <w:spacing w:val="-1"/>
          <w:sz w:val="22"/>
          <w:szCs w:val="22"/>
        </w:rPr>
        <w:t>child</w:t>
      </w:r>
      <w:r>
        <w:rPr>
          <w:sz w:val="22"/>
          <w:szCs w:val="22"/>
        </w:rPr>
        <w:t xml:space="preserve"> such as to</w:t>
      </w:r>
      <w:r>
        <w:rPr>
          <w:spacing w:val="39"/>
          <w:sz w:val="22"/>
          <w:szCs w:val="22"/>
        </w:rPr>
        <w:t xml:space="preserve"> </w:t>
      </w:r>
      <w:r>
        <w:rPr>
          <w:rFonts w:eastAsia="Arial"/>
          <w:sz w:val="22"/>
          <w:szCs w:val="22"/>
        </w:rPr>
        <w:t>cause</w:t>
      </w:r>
      <w:r>
        <w:rPr>
          <w:rFonts w:eastAsia="Arial"/>
          <w:spacing w:val="-1"/>
          <w:sz w:val="22"/>
          <w:szCs w:val="22"/>
        </w:rPr>
        <w:t xml:space="preserve"> </w:t>
      </w:r>
      <w:r>
        <w:rPr>
          <w:rFonts w:eastAsia="Arial"/>
          <w:sz w:val="22"/>
          <w:szCs w:val="22"/>
        </w:rPr>
        <w:t xml:space="preserve">severe and adverse effects on the </w:t>
      </w:r>
      <w:r>
        <w:rPr>
          <w:rFonts w:eastAsia="Arial"/>
          <w:spacing w:val="-1"/>
          <w:sz w:val="22"/>
          <w:szCs w:val="22"/>
        </w:rPr>
        <w:t>child’s</w:t>
      </w:r>
      <w:r>
        <w:rPr>
          <w:rFonts w:eastAsia="Arial"/>
          <w:sz w:val="22"/>
          <w:szCs w:val="22"/>
        </w:rPr>
        <w:t xml:space="preserve"> emotional</w:t>
      </w:r>
      <w:r>
        <w:rPr>
          <w:rFonts w:eastAsia="Arial"/>
          <w:spacing w:val="-1"/>
          <w:sz w:val="22"/>
          <w:szCs w:val="22"/>
        </w:rPr>
        <w:t xml:space="preserve"> development.</w:t>
      </w:r>
      <w:r>
        <w:rPr>
          <w:rFonts w:eastAsia="Arial"/>
          <w:sz w:val="22"/>
          <w:szCs w:val="22"/>
        </w:rPr>
        <w:t xml:space="preserve"> It</w:t>
      </w:r>
      <w:r>
        <w:rPr>
          <w:rFonts w:eastAsia="Arial"/>
          <w:spacing w:val="-1"/>
          <w:sz w:val="22"/>
          <w:szCs w:val="22"/>
        </w:rPr>
        <w:t xml:space="preserve"> may</w:t>
      </w:r>
      <w:r>
        <w:rPr>
          <w:rFonts w:eastAsia="Arial"/>
          <w:sz w:val="22"/>
          <w:szCs w:val="22"/>
        </w:rPr>
        <w:t xml:space="preserve"> </w:t>
      </w:r>
      <w:r>
        <w:rPr>
          <w:rFonts w:eastAsia="Arial"/>
          <w:spacing w:val="-1"/>
          <w:sz w:val="22"/>
          <w:szCs w:val="22"/>
        </w:rPr>
        <w:t>involve</w:t>
      </w:r>
      <w:r>
        <w:rPr>
          <w:rFonts w:eastAsia="Arial"/>
          <w:spacing w:val="49"/>
          <w:sz w:val="22"/>
          <w:szCs w:val="22"/>
        </w:rPr>
        <w:t xml:space="preserve"> </w:t>
      </w:r>
      <w:r>
        <w:rPr>
          <w:spacing w:val="-1"/>
          <w:sz w:val="22"/>
          <w:szCs w:val="22"/>
        </w:rPr>
        <w:t>conveying</w:t>
      </w:r>
      <w:r>
        <w:rPr>
          <w:sz w:val="22"/>
          <w:szCs w:val="22"/>
        </w:rPr>
        <w:t xml:space="preserve"> to a </w:t>
      </w:r>
      <w:r>
        <w:rPr>
          <w:spacing w:val="-1"/>
          <w:sz w:val="22"/>
          <w:szCs w:val="22"/>
        </w:rPr>
        <w:t>child</w:t>
      </w:r>
      <w:r>
        <w:rPr>
          <w:sz w:val="22"/>
          <w:szCs w:val="22"/>
        </w:rPr>
        <w:t xml:space="preserve"> that they are </w:t>
      </w:r>
      <w:r>
        <w:rPr>
          <w:spacing w:val="-1"/>
          <w:sz w:val="22"/>
          <w:szCs w:val="22"/>
        </w:rPr>
        <w:t>worthless</w:t>
      </w:r>
      <w:r>
        <w:rPr>
          <w:sz w:val="22"/>
          <w:szCs w:val="22"/>
        </w:rPr>
        <w:t xml:space="preserve"> or </w:t>
      </w:r>
      <w:r>
        <w:rPr>
          <w:spacing w:val="-1"/>
          <w:sz w:val="22"/>
          <w:szCs w:val="22"/>
        </w:rPr>
        <w:t>unloved,</w:t>
      </w:r>
      <w:r>
        <w:rPr>
          <w:sz w:val="22"/>
          <w:szCs w:val="22"/>
        </w:rPr>
        <w:t xml:space="preserve"> </w:t>
      </w:r>
      <w:r>
        <w:rPr>
          <w:spacing w:val="-1"/>
          <w:sz w:val="22"/>
          <w:szCs w:val="22"/>
        </w:rPr>
        <w:t>inadequate,</w:t>
      </w:r>
      <w:r>
        <w:rPr>
          <w:sz w:val="22"/>
          <w:szCs w:val="22"/>
        </w:rPr>
        <w:t xml:space="preserve"> or valued </w:t>
      </w:r>
      <w:r>
        <w:rPr>
          <w:spacing w:val="-1"/>
          <w:sz w:val="22"/>
          <w:szCs w:val="22"/>
        </w:rPr>
        <w:t>only</w:t>
      </w:r>
      <w:r>
        <w:rPr>
          <w:spacing w:val="73"/>
          <w:sz w:val="22"/>
          <w:szCs w:val="22"/>
        </w:rPr>
        <w:t xml:space="preserve"> </w:t>
      </w:r>
      <w:r>
        <w:rPr>
          <w:spacing w:val="-1"/>
          <w:sz w:val="22"/>
          <w:szCs w:val="22"/>
        </w:rPr>
        <w:t>insofar</w:t>
      </w:r>
      <w:r>
        <w:rPr>
          <w:sz w:val="22"/>
          <w:szCs w:val="22"/>
        </w:rPr>
        <w:t xml:space="preserve"> as </w:t>
      </w:r>
      <w:r>
        <w:rPr>
          <w:spacing w:val="-1"/>
          <w:sz w:val="22"/>
          <w:szCs w:val="22"/>
        </w:rPr>
        <w:t>they</w:t>
      </w:r>
      <w:r>
        <w:rPr>
          <w:sz w:val="22"/>
          <w:szCs w:val="22"/>
        </w:rPr>
        <w:t xml:space="preserve"> meet the </w:t>
      </w:r>
      <w:r>
        <w:rPr>
          <w:spacing w:val="-1"/>
          <w:sz w:val="22"/>
          <w:szCs w:val="22"/>
        </w:rPr>
        <w:t>needs</w:t>
      </w:r>
      <w:r>
        <w:rPr>
          <w:sz w:val="22"/>
          <w:szCs w:val="22"/>
        </w:rPr>
        <w:t xml:space="preserve"> of </w:t>
      </w:r>
      <w:r>
        <w:rPr>
          <w:spacing w:val="-1"/>
          <w:sz w:val="22"/>
          <w:szCs w:val="22"/>
        </w:rPr>
        <w:t>another</w:t>
      </w:r>
      <w:r>
        <w:rPr>
          <w:spacing w:val="2"/>
          <w:sz w:val="22"/>
          <w:szCs w:val="22"/>
        </w:rPr>
        <w:t xml:space="preserve"> </w:t>
      </w:r>
      <w:r>
        <w:rPr>
          <w:spacing w:val="-1"/>
          <w:sz w:val="22"/>
          <w:szCs w:val="22"/>
        </w:rPr>
        <w:t>person.</w:t>
      </w:r>
      <w:r>
        <w:rPr>
          <w:sz w:val="22"/>
          <w:szCs w:val="22"/>
        </w:rPr>
        <w:t xml:space="preserve"> It </w:t>
      </w:r>
      <w:r>
        <w:rPr>
          <w:spacing w:val="-1"/>
          <w:sz w:val="22"/>
          <w:szCs w:val="22"/>
        </w:rPr>
        <w:t>may</w:t>
      </w:r>
      <w:r>
        <w:rPr>
          <w:sz w:val="22"/>
          <w:szCs w:val="22"/>
        </w:rPr>
        <w:t xml:space="preserve"> </w:t>
      </w:r>
      <w:r>
        <w:rPr>
          <w:spacing w:val="-1"/>
          <w:sz w:val="22"/>
          <w:szCs w:val="22"/>
        </w:rPr>
        <w:t>include</w:t>
      </w:r>
      <w:r>
        <w:rPr>
          <w:sz w:val="22"/>
          <w:szCs w:val="22"/>
        </w:rPr>
        <w:t xml:space="preserve"> not </w:t>
      </w:r>
      <w:r>
        <w:rPr>
          <w:spacing w:val="-1"/>
          <w:sz w:val="22"/>
          <w:szCs w:val="22"/>
        </w:rPr>
        <w:t>giving</w:t>
      </w:r>
      <w:r>
        <w:rPr>
          <w:sz w:val="22"/>
          <w:szCs w:val="22"/>
        </w:rPr>
        <w:t xml:space="preserve"> the </w:t>
      </w:r>
      <w:r>
        <w:rPr>
          <w:spacing w:val="-1"/>
          <w:sz w:val="22"/>
          <w:szCs w:val="22"/>
        </w:rPr>
        <w:t>child</w:t>
      </w:r>
      <w:r>
        <w:rPr>
          <w:spacing w:val="79"/>
          <w:sz w:val="22"/>
          <w:szCs w:val="22"/>
        </w:rPr>
        <w:t xml:space="preserve"> </w:t>
      </w:r>
      <w:r>
        <w:rPr>
          <w:spacing w:val="-1"/>
          <w:sz w:val="22"/>
          <w:szCs w:val="22"/>
        </w:rPr>
        <w:t>opportunities</w:t>
      </w:r>
      <w:r>
        <w:rPr>
          <w:sz w:val="22"/>
          <w:szCs w:val="22"/>
        </w:rPr>
        <w:t xml:space="preserve"> to </w:t>
      </w:r>
      <w:r>
        <w:rPr>
          <w:spacing w:val="-1"/>
          <w:sz w:val="22"/>
          <w:szCs w:val="22"/>
        </w:rPr>
        <w:t>express</w:t>
      </w:r>
      <w:r>
        <w:rPr>
          <w:sz w:val="22"/>
          <w:szCs w:val="22"/>
        </w:rPr>
        <w:t xml:space="preserve"> </w:t>
      </w:r>
      <w:r>
        <w:rPr>
          <w:spacing w:val="-1"/>
          <w:sz w:val="22"/>
          <w:szCs w:val="22"/>
        </w:rPr>
        <w:t>their</w:t>
      </w:r>
      <w:r>
        <w:rPr>
          <w:sz w:val="22"/>
          <w:szCs w:val="22"/>
        </w:rPr>
        <w:t xml:space="preserve"> </w:t>
      </w:r>
      <w:r>
        <w:rPr>
          <w:spacing w:val="-1"/>
          <w:sz w:val="22"/>
          <w:szCs w:val="22"/>
        </w:rPr>
        <w:t>views,</w:t>
      </w:r>
      <w:r>
        <w:rPr>
          <w:spacing w:val="2"/>
          <w:sz w:val="22"/>
          <w:szCs w:val="22"/>
        </w:rPr>
        <w:t xml:space="preserve"> </w:t>
      </w:r>
      <w:r>
        <w:rPr>
          <w:spacing w:val="-1"/>
          <w:sz w:val="22"/>
          <w:szCs w:val="22"/>
        </w:rPr>
        <w:t>deliberately</w:t>
      </w:r>
      <w:r>
        <w:rPr>
          <w:sz w:val="22"/>
          <w:szCs w:val="22"/>
        </w:rPr>
        <w:t xml:space="preserve"> </w:t>
      </w:r>
      <w:r>
        <w:rPr>
          <w:rFonts w:eastAsia="Arial"/>
          <w:spacing w:val="-1"/>
          <w:sz w:val="22"/>
          <w:szCs w:val="22"/>
        </w:rPr>
        <w:t>silencing</w:t>
      </w:r>
      <w:r>
        <w:rPr>
          <w:rFonts w:eastAsia="Arial"/>
          <w:sz w:val="22"/>
          <w:szCs w:val="22"/>
        </w:rPr>
        <w:t xml:space="preserve"> them or </w:t>
      </w:r>
      <w:r>
        <w:rPr>
          <w:rFonts w:eastAsia="Arial"/>
          <w:spacing w:val="-1"/>
          <w:sz w:val="22"/>
          <w:szCs w:val="22"/>
        </w:rPr>
        <w:t>‘making</w:t>
      </w:r>
      <w:r>
        <w:rPr>
          <w:rFonts w:eastAsia="Arial"/>
          <w:sz w:val="22"/>
          <w:szCs w:val="22"/>
        </w:rPr>
        <w:t xml:space="preserve"> fun’ of </w:t>
      </w:r>
      <w:r>
        <w:rPr>
          <w:rFonts w:eastAsia="Arial"/>
          <w:spacing w:val="-1"/>
          <w:sz w:val="22"/>
          <w:szCs w:val="22"/>
        </w:rPr>
        <w:t>what</w:t>
      </w:r>
      <w:r>
        <w:rPr>
          <w:rFonts w:eastAsia="Arial"/>
          <w:spacing w:val="107"/>
          <w:sz w:val="22"/>
          <w:szCs w:val="22"/>
        </w:rPr>
        <w:t xml:space="preserve"> </w:t>
      </w:r>
      <w:r>
        <w:rPr>
          <w:sz w:val="22"/>
          <w:szCs w:val="22"/>
        </w:rPr>
        <w:t>they say or</w:t>
      </w:r>
      <w:r>
        <w:rPr>
          <w:spacing w:val="-1"/>
          <w:sz w:val="22"/>
          <w:szCs w:val="22"/>
        </w:rPr>
        <w:t xml:space="preserve"> </w:t>
      </w:r>
      <w:r>
        <w:rPr>
          <w:sz w:val="22"/>
          <w:szCs w:val="22"/>
        </w:rPr>
        <w:t>how they communicate. It may</w:t>
      </w:r>
      <w:r>
        <w:rPr>
          <w:spacing w:val="-1"/>
          <w:sz w:val="22"/>
          <w:szCs w:val="22"/>
        </w:rPr>
        <w:t xml:space="preserve"> feature</w:t>
      </w:r>
      <w:r>
        <w:rPr>
          <w:sz w:val="22"/>
          <w:szCs w:val="22"/>
        </w:rPr>
        <w:t xml:space="preserve"> age or </w:t>
      </w:r>
      <w:r>
        <w:rPr>
          <w:spacing w:val="-1"/>
          <w:sz w:val="22"/>
          <w:szCs w:val="22"/>
        </w:rPr>
        <w:t>developmentally</w:t>
      </w:r>
      <w:r>
        <w:rPr>
          <w:sz w:val="22"/>
          <w:szCs w:val="22"/>
        </w:rPr>
        <w:t xml:space="preserve"> inappropriate</w:t>
      </w:r>
      <w:r>
        <w:rPr>
          <w:spacing w:val="39"/>
          <w:sz w:val="22"/>
          <w:szCs w:val="22"/>
        </w:rPr>
        <w:t xml:space="preserve"> </w:t>
      </w:r>
      <w:r>
        <w:rPr>
          <w:spacing w:val="-1"/>
          <w:sz w:val="22"/>
          <w:szCs w:val="22"/>
        </w:rPr>
        <w:t>expectations</w:t>
      </w:r>
      <w:r>
        <w:rPr>
          <w:sz w:val="22"/>
          <w:szCs w:val="22"/>
        </w:rPr>
        <w:t xml:space="preserve"> </w:t>
      </w:r>
      <w:r>
        <w:rPr>
          <w:spacing w:val="-1"/>
          <w:sz w:val="22"/>
          <w:szCs w:val="22"/>
        </w:rPr>
        <w:t>being</w:t>
      </w:r>
      <w:r>
        <w:rPr>
          <w:sz w:val="22"/>
          <w:szCs w:val="22"/>
        </w:rPr>
        <w:t xml:space="preserve"> imposed</w:t>
      </w:r>
      <w:r>
        <w:rPr>
          <w:spacing w:val="-1"/>
          <w:sz w:val="22"/>
          <w:szCs w:val="22"/>
        </w:rPr>
        <w:t xml:space="preserve"> </w:t>
      </w:r>
      <w:r>
        <w:rPr>
          <w:sz w:val="22"/>
          <w:szCs w:val="22"/>
        </w:rPr>
        <w:t xml:space="preserve">on </w:t>
      </w:r>
      <w:r>
        <w:rPr>
          <w:spacing w:val="-1"/>
          <w:sz w:val="22"/>
          <w:szCs w:val="22"/>
        </w:rPr>
        <w:t>children.</w:t>
      </w:r>
      <w:r>
        <w:rPr>
          <w:sz w:val="22"/>
          <w:szCs w:val="22"/>
        </w:rPr>
        <w:t xml:space="preserve"> These may </w:t>
      </w:r>
      <w:r>
        <w:rPr>
          <w:spacing w:val="-1"/>
          <w:sz w:val="22"/>
          <w:szCs w:val="22"/>
        </w:rPr>
        <w:t xml:space="preserve">include </w:t>
      </w:r>
      <w:r>
        <w:rPr>
          <w:sz w:val="22"/>
          <w:szCs w:val="22"/>
        </w:rPr>
        <w:t>interactions that are</w:t>
      </w:r>
      <w:r>
        <w:rPr>
          <w:spacing w:val="-1"/>
          <w:sz w:val="22"/>
          <w:szCs w:val="22"/>
        </w:rPr>
        <w:t xml:space="preserve"> </w:t>
      </w:r>
      <w:r>
        <w:rPr>
          <w:sz w:val="22"/>
          <w:szCs w:val="22"/>
        </w:rPr>
        <w:t>beyond</w:t>
      </w:r>
      <w:r>
        <w:rPr>
          <w:spacing w:val="57"/>
          <w:sz w:val="22"/>
          <w:szCs w:val="22"/>
        </w:rPr>
        <w:t xml:space="preserve"> </w:t>
      </w:r>
      <w:r>
        <w:rPr>
          <w:rFonts w:eastAsia="Arial"/>
          <w:sz w:val="22"/>
          <w:szCs w:val="22"/>
        </w:rPr>
        <w:t xml:space="preserve">a </w:t>
      </w:r>
      <w:r>
        <w:rPr>
          <w:rFonts w:eastAsia="Arial"/>
          <w:spacing w:val="-1"/>
          <w:sz w:val="22"/>
          <w:szCs w:val="22"/>
        </w:rPr>
        <w:t>child’s</w:t>
      </w:r>
      <w:r>
        <w:rPr>
          <w:rFonts w:eastAsia="Arial"/>
          <w:sz w:val="22"/>
          <w:szCs w:val="22"/>
        </w:rPr>
        <w:t xml:space="preserve"> </w:t>
      </w:r>
      <w:r>
        <w:rPr>
          <w:rFonts w:eastAsia="Arial"/>
          <w:spacing w:val="-1"/>
          <w:sz w:val="22"/>
          <w:szCs w:val="22"/>
        </w:rPr>
        <w:t>developmental</w:t>
      </w:r>
      <w:r>
        <w:rPr>
          <w:rFonts w:eastAsia="Arial"/>
          <w:sz w:val="22"/>
          <w:szCs w:val="22"/>
        </w:rPr>
        <w:t xml:space="preserve"> </w:t>
      </w:r>
      <w:r>
        <w:rPr>
          <w:rFonts w:eastAsia="Arial"/>
          <w:spacing w:val="-1"/>
          <w:sz w:val="22"/>
          <w:szCs w:val="22"/>
        </w:rPr>
        <w:t>capability</w:t>
      </w:r>
      <w:r>
        <w:rPr>
          <w:rFonts w:eastAsia="Arial"/>
          <w:sz w:val="22"/>
          <w:szCs w:val="22"/>
        </w:rPr>
        <w:t xml:space="preserve"> as </w:t>
      </w:r>
      <w:r>
        <w:rPr>
          <w:rFonts w:eastAsia="Arial"/>
          <w:spacing w:val="-1"/>
          <w:sz w:val="22"/>
          <w:szCs w:val="22"/>
        </w:rPr>
        <w:t xml:space="preserve">well </w:t>
      </w:r>
      <w:r>
        <w:rPr>
          <w:rFonts w:eastAsia="Arial"/>
          <w:sz w:val="22"/>
          <w:szCs w:val="22"/>
        </w:rPr>
        <w:t xml:space="preserve">as </w:t>
      </w:r>
      <w:r>
        <w:rPr>
          <w:rFonts w:eastAsia="Arial"/>
          <w:spacing w:val="-1"/>
          <w:sz w:val="22"/>
          <w:szCs w:val="22"/>
        </w:rPr>
        <w:t>overprotection</w:t>
      </w:r>
      <w:r>
        <w:rPr>
          <w:rFonts w:eastAsia="Arial"/>
          <w:sz w:val="22"/>
          <w:szCs w:val="22"/>
        </w:rPr>
        <w:t xml:space="preserve"> and </w:t>
      </w:r>
      <w:r>
        <w:rPr>
          <w:rFonts w:eastAsia="Arial"/>
          <w:spacing w:val="-1"/>
          <w:sz w:val="22"/>
          <w:szCs w:val="22"/>
        </w:rPr>
        <w:t>limitation</w:t>
      </w:r>
      <w:r>
        <w:rPr>
          <w:rFonts w:eastAsia="Arial"/>
          <w:sz w:val="22"/>
          <w:szCs w:val="22"/>
        </w:rPr>
        <w:t xml:space="preserve"> of </w:t>
      </w:r>
      <w:r>
        <w:rPr>
          <w:rFonts w:eastAsia="Arial"/>
          <w:spacing w:val="-1"/>
          <w:sz w:val="22"/>
          <w:szCs w:val="22"/>
        </w:rPr>
        <w:t>exploration</w:t>
      </w:r>
      <w:r>
        <w:rPr>
          <w:rFonts w:eastAsia="Arial"/>
          <w:spacing w:val="119"/>
          <w:sz w:val="22"/>
          <w:szCs w:val="22"/>
        </w:rPr>
        <w:t xml:space="preserve"> </w:t>
      </w:r>
      <w:r>
        <w:rPr>
          <w:sz w:val="22"/>
          <w:szCs w:val="22"/>
        </w:rPr>
        <w:t>and</w:t>
      </w:r>
      <w:r>
        <w:rPr>
          <w:spacing w:val="-1"/>
          <w:sz w:val="22"/>
          <w:szCs w:val="22"/>
        </w:rPr>
        <w:t xml:space="preserve"> </w:t>
      </w:r>
      <w:r>
        <w:rPr>
          <w:sz w:val="22"/>
          <w:szCs w:val="22"/>
        </w:rPr>
        <w:t xml:space="preserve">learning, or </w:t>
      </w:r>
      <w:r>
        <w:rPr>
          <w:spacing w:val="-1"/>
          <w:sz w:val="22"/>
          <w:szCs w:val="22"/>
        </w:rPr>
        <w:t xml:space="preserve">preventing </w:t>
      </w:r>
      <w:r>
        <w:rPr>
          <w:sz w:val="22"/>
          <w:szCs w:val="22"/>
        </w:rPr>
        <w:t xml:space="preserve">the </w:t>
      </w:r>
      <w:r>
        <w:rPr>
          <w:spacing w:val="-1"/>
          <w:sz w:val="22"/>
          <w:szCs w:val="22"/>
        </w:rPr>
        <w:t xml:space="preserve">child </w:t>
      </w:r>
      <w:r>
        <w:rPr>
          <w:sz w:val="22"/>
          <w:szCs w:val="22"/>
        </w:rPr>
        <w:t>participating</w:t>
      </w:r>
      <w:r>
        <w:rPr>
          <w:spacing w:val="-1"/>
          <w:sz w:val="22"/>
          <w:szCs w:val="22"/>
        </w:rPr>
        <w:t xml:space="preserve"> </w:t>
      </w:r>
      <w:r>
        <w:rPr>
          <w:sz w:val="22"/>
          <w:szCs w:val="22"/>
        </w:rPr>
        <w:t>in normal social</w:t>
      </w:r>
      <w:r>
        <w:rPr>
          <w:spacing w:val="-2"/>
          <w:sz w:val="22"/>
          <w:szCs w:val="22"/>
        </w:rPr>
        <w:t xml:space="preserve"> </w:t>
      </w:r>
      <w:r>
        <w:rPr>
          <w:sz w:val="22"/>
          <w:szCs w:val="22"/>
        </w:rPr>
        <w:t>interaction. It may</w:t>
      </w:r>
      <w:r>
        <w:rPr>
          <w:spacing w:val="28"/>
          <w:sz w:val="22"/>
          <w:szCs w:val="22"/>
        </w:rPr>
        <w:t xml:space="preserve"> </w:t>
      </w:r>
      <w:r>
        <w:rPr>
          <w:spacing w:val="-1"/>
          <w:sz w:val="22"/>
          <w:szCs w:val="22"/>
        </w:rPr>
        <w:t>involve</w:t>
      </w:r>
      <w:r>
        <w:rPr>
          <w:sz w:val="22"/>
          <w:szCs w:val="22"/>
        </w:rPr>
        <w:t xml:space="preserve"> </w:t>
      </w:r>
      <w:r>
        <w:rPr>
          <w:spacing w:val="-1"/>
          <w:sz w:val="22"/>
          <w:szCs w:val="22"/>
        </w:rPr>
        <w:t>seeing</w:t>
      </w:r>
      <w:r>
        <w:rPr>
          <w:sz w:val="22"/>
          <w:szCs w:val="22"/>
        </w:rPr>
        <w:t xml:space="preserve"> or </w:t>
      </w:r>
      <w:r>
        <w:rPr>
          <w:spacing w:val="-1"/>
          <w:sz w:val="22"/>
          <w:szCs w:val="22"/>
        </w:rPr>
        <w:t>hearing</w:t>
      </w:r>
      <w:r>
        <w:rPr>
          <w:sz w:val="22"/>
          <w:szCs w:val="22"/>
        </w:rPr>
        <w:t xml:space="preserve"> the </w:t>
      </w:r>
      <w:r>
        <w:rPr>
          <w:spacing w:val="-1"/>
          <w:sz w:val="22"/>
          <w:szCs w:val="22"/>
        </w:rPr>
        <w:t>ill-treatment</w:t>
      </w:r>
      <w:r>
        <w:rPr>
          <w:sz w:val="22"/>
          <w:szCs w:val="22"/>
        </w:rPr>
        <w:t xml:space="preserve"> of </w:t>
      </w:r>
      <w:r>
        <w:rPr>
          <w:spacing w:val="-1"/>
          <w:sz w:val="22"/>
          <w:szCs w:val="22"/>
        </w:rPr>
        <w:t>another.</w:t>
      </w:r>
      <w:r>
        <w:rPr>
          <w:sz w:val="22"/>
          <w:szCs w:val="22"/>
        </w:rPr>
        <w:t xml:space="preserve"> It</w:t>
      </w:r>
      <w:r>
        <w:rPr>
          <w:spacing w:val="-1"/>
          <w:sz w:val="22"/>
          <w:szCs w:val="22"/>
        </w:rPr>
        <w:t xml:space="preserve"> </w:t>
      </w:r>
      <w:r>
        <w:rPr>
          <w:sz w:val="22"/>
          <w:szCs w:val="22"/>
        </w:rPr>
        <w:t xml:space="preserve">may </w:t>
      </w:r>
      <w:r>
        <w:rPr>
          <w:spacing w:val="-1"/>
          <w:sz w:val="22"/>
          <w:szCs w:val="22"/>
        </w:rPr>
        <w:t>involve</w:t>
      </w:r>
      <w:r>
        <w:rPr>
          <w:sz w:val="22"/>
          <w:szCs w:val="22"/>
        </w:rPr>
        <w:t xml:space="preserve"> serious </w:t>
      </w:r>
      <w:r>
        <w:rPr>
          <w:spacing w:val="-1"/>
          <w:sz w:val="22"/>
          <w:szCs w:val="22"/>
        </w:rPr>
        <w:t>bullying</w:t>
      </w:r>
      <w:r>
        <w:rPr>
          <w:spacing w:val="93"/>
          <w:sz w:val="22"/>
          <w:szCs w:val="22"/>
        </w:rPr>
        <w:t xml:space="preserve"> </w:t>
      </w:r>
      <w:r>
        <w:rPr>
          <w:spacing w:val="-1"/>
          <w:sz w:val="22"/>
          <w:szCs w:val="22"/>
        </w:rPr>
        <w:t>(including</w:t>
      </w:r>
      <w:r>
        <w:rPr>
          <w:sz w:val="22"/>
          <w:szCs w:val="22"/>
        </w:rPr>
        <w:t xml:space="preserve"> cyberbullying), </w:t>
      </w:r>
      <w:r>
        <w:rPr>
          <w:spacing w:val="-1"/>
          <w:sz w:val="22"/>
          <w:szCs w:val="22"/>
        </w:rPr>
        <w:t>causing</w:t>
      </w:r>
      <w:r>
        <w:rPr>
          <w:sz w:val="22"/>
          <w:szCs w:val="22"/>
        </w:rPr>
        <w:t xml:space="preserve"> </w:t>
      </w:r>
      <w:r>
        <w:rPr>
          <w:spacing w:val="-1"/>
          <w:sz w:val="22"/>
          <w:szCs w:val="22"/>
        </w:rPr>
        <w:t>children</w:t>
      </w:r>
      <w:r>
        <w:rPr>
          <w:sz w:val="22"/>
          <w:szCs w:val="22"/>
        </w:rPr>
        <w:t xml:space="preserve"> </w:t>
      </w:r>
      <w:r>
        <w:rPr>
          <w:spacing w:val="-1"/>
          <w:sz w:val="22"/>
          <w:szCs w:val="22"/>
        </w:rPr>
        <w:t>frequently</w:t>
      </w:r>
      <w:r>
        <w:rPr>
          <w:sz w:val="22"/>
          <w:szCs w:val="22"/>
        </w:rPr>
        <w:t xml:space="preserve"> to feel</w:t>
      </w:r>
      <w:r>
        <w:rPr>
          <w:spacing w:val="-1"/>
          <w:sz w:val="22"/>
          <w:szCs w:val="22"/>
        </w:rPr>
        <w:t xml:space="preserve"> frightened </w:t>
      </w:r>
      <w:r>
        <w:rPr>
          <w:sz w:val="22"/>
          <w:szCs w:val="22"/>
        </w:rPr>
        <w:t>or in</w:t>
      </w:r>
      <w:r>
        <w:rPr>
          <w:spacing w:val="-1"/>
          <w:sz w:val="22"/>
          <w:szCs w:val="22"/>
        </w:rPr>
        <w:t xml:space="preserve"> </w:t>
      </w:r>
      <w:r>
        <w:rPr>
          <w:sz w:val="22"/>
          <w:szCs w:val="22"/>
        </w:rPr>
        <w:t>danger, or</w:t>
      </w:r>
      <w:r>
        <w:rPr>
          <w:spacing w:val="77"/>
          <w:sz w:val="22"/>
          <w:szCs w:val="22"/>
        </w:rPr>
        <w:t xml:space="preserve"> </w:t>
      </w:r>
      <w:r>
        <w:rPr>
          <w:sz w:val="22"/>
          <w:szCs w:val="22"/>
        </w:rPr>
        <w:t xml:space="preserve">the </w:t>
      </w:r>
      <w:r>
        <w:rPr>
          <w:spacing w:val="-1"/>
          <w:sz w:val="22"/>
          <w:szCs w:val="22"/>
        </w:rPr>
        <w:t>exploitation</w:t>
      </w:r>
      <w:r>
        <w:rPr>
          <w:sz w:val="22"/>
          <w:szCs w:val="22"/>
        </w:rPr>
        <w:t xml:space="preserve"> or </w:t>
      </w:r>
      <w:r>
        <w:rPr>
          <w:spacing w:val="-1"/>
          <w:sz w:val="22"/>
          <w:szCs w:val="22"/>
        </w:rPr>
        <w:t xml:space="preserve">corruption </w:t>
      </w:r>
      <w:r>
        <w:rPr>
          <w:sz w:val="22"/>
          <w:szCs w:val="22"/>
        </w:rPr>
        <w:t xml:space="preserve">of </w:t>
      </w:r>
      <w:r>
        <w:rPr>
          <w:spacing w:val="-1"/>
          <w:sz w:val="22"/>
          <w:szCs w:val="22"/>
        </w:rPr>
        <w:t>children.  UTC has a specific E-Safety Policy.</w:t>
      </w:r>
      <w:r>
        <w:rPr>
          <w:sz w:val="22"/>
          <w:szCs w:val="22"/>
        </w:rPr>
        <w:t xml:space="preserve"> Some </w:t>
      </w:r>
      <w:r>
        <w:rPr>
          <w:spacing w:val="-1"/>
          <w:sz w:val="22"/>
          <w:szCs w:val="22"/>
        </w:rPr>
        <w:t>level</w:t>
      </w:r>
      <w:r>
        <w:rPr>
          <w:sz w:val="22"/>
          <w:szCs w:val="22"/>
        </w:rPr>
        <w:t xml:space="preserve"> of </w:t>
      </w:r>
      <w:r>
        <w:rPr>
          <w:spacing w:val="-1"/>
          <w:sz w:val="22"/>
          <w:szCs w:val="22"/>
        </w:rPr>
        <w:t>emotional</w:t>
      </w:r>
      <w:r>
        <w:rPr>
          <w:sz w:val="22"/>
          <w:szCs w:val="22"/>
        </w:rPr>
        <w:t xml:space="preserve"> </w:t>
      </w:r>
      <w:r>
        <w:rPr>
          <w:spacing w:val="-1"/>
          <w:sz w:val="22"/>
          <w:szCs w:val="22"/>
        </w:rPr>
        <w:t>abuse</w:t>
      </w:r>
      <w:r>
        <w:rPr>
          <w:sz w:val="22"/>
          <w:szCs w:val="22"/>
        </w:rPr>
        <w:t xml:space="preserve"> is involved in</w:t>
      </w:r>
      <w:r>
        <w:rPr>
          <w:spacing w:val="-1"/>
          <w:sz w:val="22"/>
          <w:szCs w:val="22"/>
        </w:rPr>
        <w:t xml:space="preserve"> </w:t>
      </w:r>
      <w:r>
        <w:rPr>
          <w:sz w:val="22"/>
          <w:szCs w:val="22"/>
        </w:rPr>
        <w:t>all</w:t>
      </w:r>
      <w:r>
        <w:rPr>
          <w:spacing w:val="91"/>
          <w:sz w:val="22"/>
          <w:szCs w:val="22"/>
        </w:rPr>
        <w:t xml:space="preserve"> </w:t>
      </w:r>
      <w:r>
        <w:rPr>
          <w:sz w:val="22"/>
          <w:szCs w:val="22"/>
        </w:rPr>
        <w:t xml:space="preserve">types of child </w:t>
      </w:r>
      <w:r>
        <w:rPr>
          <w:spacing w:val="-1"/>
          <w:sz w:val="22"/>
          <w:szCs w:val="22"/>
        </w:rPr>
        <w:t>maltreatment,</w:t>
      </w:r>
      <w:r>
        <w:rPr>
          <w:sz w:val="22"/>
          <w:szCs w:val="22"/>
        </w:rPr>
        <w:t xml:space="preserve"> </w:t>
      </w:r>
      <w:r>
        <w:rPr>
          <w:spacing w:val="-1"/>
          <w:sz w:val="22"/>
          <w:szCs w:val="22"/>
        </w:rPr>
        <w:t>although</w:t>
      </w:r>
      <w:r>
        <w:rPr>
          <w:sz w:val="22"/>
          <w:szCs w:val="22"/>
        </w:rPr>
        <w:t xml:space="preserve"> </w:t>
      </w:r>
      <w:r>
        <w:rPr>
          <w:spacing w:val="-1"/>
          <w:sz w:val="22"/>
          <w:szCs w:val="22"/>
        </w:rPr>
        <w:t>it</w:t>
      </w:r>
      <w:r>
        <w:rPr>
          <w:sz w:val="22"/>
          <w:szCs w:val="22"/>
        </w:rPr>
        <w:t xml:space="preserve"> may occur </w:t>
      </w:r>
      <w:r>
        <w:rPr>
          <w:spacing w:val="-1"/>
          <w:sz w:val="22"/>
          <w:szCs w:val="22"/>
        </w:rPr>
        <w:t>alone.</w:t>
      </w:r>
    </w:p>
    <w:p>
      <w:pPr>
        <w:pStyle w:val="BodyText"/>
        <w:widowControl w:val="0"/>
        <w:tabs>
          <w:tab w:val="left" w:pos="824"/>
        </w:tabs>
        <w:spacing w:after="0" w:line="288" w:lineRule="auto"/>
        <w:ind w:left="720" w:right="199"/>
        <w:rPr>
          <w:sz w:val="22"/>
          <w:szCs w:val="22"/>
        </w:rPr>
      </w:pPr>
    </w:p>
    <w:p>
      <w:pPr>
        <w:pStyle w:val="BodyText"/>
        <w:widowControl w:val="0"/>
        <w:tabs>
          <w:tab w:val="left" w:pos="824"/>
        </w:tabs>
        <w:spacing w:after="0" w:line="288" w:lineRule="auto"/>
        <w:ind w:left="720" w:right="134"/>
        <w:rPr>
          <w:sz w:val="22"/>
          <w:szCs w:val="22"/>
        </w:rPr>
      </w:pPr>
      <w:r>
        <w:rPr>
          <w:b/>
          <w:spacing w:val="-1"/>
          <w:sz w:val="22"/>
          <w:szCs w:val="22"/>
        </w:rPr>
        <w:t>Sexual</w:t>
      </w:r>
      <w:r>
        <w:rPr>
          <w:b/>
          <w:sz w:val="22"/>
          <w:szCs w:val="22"/>
        </w:rPr>
        <w:t xml:space="preserve"> </w:t>
      </w:r>
      <w:r>
        <w:rPr>
          <w:b/>
          <w:spacing w:val="-1"/>
          <w:sz w:val="22"/>
          <w:szCs w:val="22"/>
        </w:rPr>
        <w:t>abuse</w:t>
      </w:r>
      <w:r>
        <w:rPr>
          <w:spacing w:val="-1"/>
          <w:sz w:val="22"/>
          <w:szCs w:val="22"/>
        </w:rPr>
        <w:t>:</w:t>
      </w:r>
      <w:r>
        <w:rPr>
          <w:sz w:val="22"/>
          <w:szCs w:val="22"/>
        </w:rPr>
        <w:t xml:space="preserve"> </w:t>
      </w:r>
      <w:r>
        <w:rPr>
          <w:spacing w:val="-1"/>
          <w:sz w:val="22"/>
          <w:szCs w:val="22"/>
        </w:rPr>
        <w:t>involves</w:t>
      </w:r>
      <w:r>
        <w:rPr>
          <w:sz w:val="22"/>
          <w:szCs w:val="22"/>
        </w:rPr>
        <w:t xml:space="preserve"> forcing or </w:t>
      </w:r>
      <w:r>
        <w:rPr>
          <w:spacing w:val="-1"/>
          <w:sz w:val="22"/>
          <w:szCs w:val="22"/>
        </w:rPr>
        <w:t>enticing</w:t>
      </w:r>
      <w:r>
        <w:rPr>
          <w:sz w:val="22"/>
          <w:szCs w:val="22"/>
        </w:rPr>
        <w:t xml:space="preserve"> a </w:t>
      </w:r>
      <w:r>
        <w:rPr>
          <w:spacing w:val="-1"/>
          <w:sz w:val="22"/>
          <w:szCs w:val="22"/>
        </w:rPr>
        <w:t>child</w:t>
      </w:r>
      <w:r>
        <w:rPr>
          <w:sz w:val="22"/>
          <w:szCs w:val="22"/>
        </w:rPr>
        <w:t xml:space="preserve"> or </w:t>
      </w:r>
      <w:r>
        <w:rPr>
          <w:spacing w:val="-1"/>
          <w:sz w:val="22"/>
          <w:szCs w:val="22"/>
        </w:rPr>
        <w:t>young</w:t>
      </w:r>
      <w:r>
        <w:rPr>
          <w:spacing w:val="2"/>
          <w:sz w:val="22"/>
          <w:szCs w:val="22"/>
        </w:rPr>
        <w:t xml:space="preserve"> </w:t>
      </w:r>
      <w:r>
        <w:rPr>
          <w:sz w:val="22"/>
          <w:szCs w:val="22"/>
        </w:rPr>
        <w:t xml:space="preserve">person to take </w:t>
      </w:r>
      <w:r>
        <w:rPr>
          <w:spacing w:val="-1"/>
          <w:sz w:val="22"/>
          <w:szCs w:val="22"/>
        </w:rPr>
        <w:t>part</w:t>
      </w:r>
      <w:r>
        <w:rPr>
          <w:sz w:val="22"/>
          <w:szCs w:val="22"/>
        </w:rPr>
        <w:t xml:space="preserve"> in</w:t>
      </w:r>
      <w:r>
        <w:rPr>
          <w:spacing w:val="67"/>
          <w:sz w:val="22"/>
          <w:szCs w:val="22"/>
        </w:rPr>
        <w:t xml:space="preserve"> </w:t>
      </w:r>
      <w:r>
        <w:rPr>
          <w:spacing w:val="-1"/>
          <w:sz w:val="22"/>
          <w:szCs w:val="22"/>
        </w:rPr>
        <w:t>sexual</w:t>
      </w:r>
      <w:r>
        <w:rPr>
          <w:sz w:val="22"/>
          <w:szCs w:val="22"/>
        </w:rPr>
        <w:t xml:space="preserve"> </w:t>
      </w:r>
      <w:r>
        <w:rPr>
          <w:spacing w:val="-1"/>
          <w:sz w:val="22"/>
          <w:szCs w:val="22"/>
        </w:rPr>
        <w:t>activities,</w:t>
      </w:r>
      <w:r>
        <w:rPr>
          <w:sz w:val="22"/>
          <w:szCs w:val="22"/>
        </w:rPr>
        <w:t xml:space="preserve"> not </w:t>
      </w:r>
      <w:r>
        <w:rPr>
          <w:spacing w:val="-1"/>
          <w:sz w:val="22"/>
          <w:szCs w:val="22"/>
        </w:rPr>
        <w:t>necessarily</w:t>
      </w:r>
      <w:r>
        <w:rPr>
          <w:sz w:val="22"/>
          <w:szCs w:val="22"/>
        </w:rPr>
        <w:t xml:space="preserve"> </w:t>
      </w:r>
      <w:r>
        <w:rPr>
          <w:spacing w:val="-1"/>
          <w:sz w:val="22"/>
          <w:szCs w:val="22"/>
        </w:rPr>
        <w:t>involving</w:t>
      </w:r>
      <w:r>
        <w:rPr>
          <w:sz w:val="22"/>
          <w:szCs w:val="22"/>
        </w:rPr>
        <w:t xml:space="preserve"> a high</w:t>
      </w:r>
      <w:r>
        <w:rPr>
          <w:spacing w:val="-1"/>
          <w:sz w:val="22"/>
          <w:szCs w:val="22"/>
        </w:rPr>
        <w:t xml:space="preserve"> </w:t>
      </w:r>
      <w:r>
        <w:rPr>
          <w:sz w:val="22"/>
          <w:szCs w:val="22"/>
        </w:rPr>
        <w:t xml:space="preserve">level of </w:t>
      </w:r>
      <w:r>
        <w:rPr>
          <w:spacing w:val="-1"/>
          <w:sz w:val="22"/>
          <w:szCs w:val="22"/>
        </w:rPr>
        <w:t>violence,</w:t>
      </w:r>
      <w:r>
        <w:rPr>
          <w:sz w:val="22"/>
          <w:szCs w:val="22"/>
        </w:rPr>
        <w:t xml:space="preserve"> whether or </w:t>
      </w:r>
      <w:r>
        <w:rPr>
          <w:spacing w:val="-1"/>
          <w:sz w:val="22"/>
          <w:szCs w:val="22"/>
        </w:rPr>
        <w:t>not</w:t>
      </w:r>
      <w:r>
        <w:rPr>
          <w:sz w:val="22"/>
          <w:szCs w:val="22"/>
        </w:rPr>
        <w:t xml:space="preserve"> the</w:t>
      </w:r>
      <w:r>
        <w:rPr>
          <w:spacing w:val="83"/>
          <w:sz w:val="22"/>
          <w:szCs w:val="22"/>
        </w:rPr>
        <w:t xml:space="preserve"> </w:t>
      </w:r>
      <w:r>
        <w:rPr>
          <w:spacing w:val="-1"/>
          <w:sz w:val="22"/>
          <w:szCs w:val="22"/>
        </w:rPr>
        <w:t xml:space="preserve">child </w:t>
      </w:r>
      <w:r>
        <w:rPr>
          <w:sz w:val="22"/>
          <w:szCs w:val="22"/>
        </w:rPr>
        <w:t xml:space="preserve">is aware of </w:t>
      </w:r>
      <w:r>
        <w:rPr>
          <w:spacing w:val="-1"/>
          <w:sz w:val="22"/>
          <w:szCs w:val="22"/>
        </w:rPr>
        <w:t xml:space="preserve">what </w:t>
      </w:r>
      <w:r>
        <w:rPr>
          <w:sz w:val="22"/>
          <w:szCs w:val="22"/>
        </w:rPr>
        <w:t xml:space="preserve">is </w:t>
      </w:r>
      <w:r>
        <w:rPr>
          <w:spacing w:val="-1"/>
          <w:sz w:val="22"/>
          <w:szCs w:val="22"/>
        </w:rPr>
        <w:t>happening.</w:t>
      </w:r>
      <w:r>
        <w:rPr>
          <w:sz w:val="22"/>
          <w:szCs w:val="22"/>
        </w:rPr>
        <w:t xml:space="preserve"> The</w:t>
      </w:r>
      <w:r>
        <w:rPr>
          <w:spacing w:val="-1"/>
          <w:sz w:val="22"/>
          <w:szCs w:val="22"/>
        </w:rPr>
        <w:t xml:space="preserve"> activities</w:t>
      </w:r>
      <w:r>
        <w:rPr>
          <w:sz w:val="22"/>
          <w:szCs w:val="22"/>
        </w:rPr>
        <w:t xml:space="preserve"> may </w:t>
      </w:r>
      <w:r>
        <w:rPr>
          <w:spacing w:val="-1"/>
          <w:sz w:val="22"/>
          <w:szCs w:val="22"/>
        </w:rPr>
        <w:t>involve</w:t>
      </w:r>
      <w:r>
        <w:rPr>
          <w:sz w:val="22"/>
          <w:szCs w:val="22"/>
        </w:rPr>
        <w:t xml:space="preserve"> </w:t>
      </w:r>
      <w:r>
        <w:rPr>
          <w:spacing w:val="-1"/>
          <w:sz w:val="22"/>
          <w:szCs w:val="22"/>
        </w:rPr>
        <w:t>physical</w:t>
      </w:r>
      <w:r>
        <w:rPr>
          <w:sz w:val="22"/>
          <w:szCs w:val="22"/>
        </w:rPr>
        <w:t xml:space="preserve"> contact, </w:t>
      </w:r>
      <w:r>
        <w:rPr>
          <w:spacing w:val="-1"/>
          <w:sz w:val="22"/>
          <w:szCs w:val="22"/>
        </w:rPr>
        <w:t>including</w:t>
      </w:r>
      <w:r>
        <w:rPr>
          <w:spacing w:val="91"/>
          <w:sz w:val="22"/>
          <w:szCs w:val="22"/>
        </w:rPr>
        <w:t xml:space="preserve"> </w:t>
      </w:r>
      <w:r>
        <w:rPr>
          <w:spacing w:val="-1"/>
          <w:sz w:val="22"/>
          <w:szCs w:val="22"/>
        </w:rPr>
        <w:t>assault</w:t>
      </w:r>
      <w:r>
        <w:rPr>
          <w:sz w:val="22"/>
          <w:szCs w:val="22"/>
        </w:rPr>
        <w:t xml:space="preserve"> by </w:t>
      </w:r>
      <w:r>
        <w:rPr>
          <w:spacing w:val="-1"/>
          <w:sz w:val="22"/>
          <w:szCs w:val="22"/>
        </w:rPr>
        <w:t>penetration</w:t>
      </w:r>
      <w:r>
        <w:rPr>
          <w:sz w:val="22"/>
          <w:szCs w:val="22"/>
        </w:rPr>
        <w:t xml:space="preserve"> (for </w:t>
      </w:r>
      <w:r>
        <w:rPr>
          <w:spacing w:val="-1"/>
          <w:sz w:val="22"/>
          <w:szCs w:val="22"/>
        </w:rPr>
        <w:t>example</w:t>
      </w:r>
      <w:r>
        <w:rPr>
          <w:sz w:val="22"/>
          <w:szCs w:val="22"/>
        </w:rPr>
        <w:t xml:space="preserve"> rape or oral </w:t>
      </w:r>
      <w:r>
        <w:rPr>
          <w:spacing w:val="-1"/>
          <w:sz w:val="22"/>
          <w:szCs w:val="22"/>
        </w:rPr>
        <w:t>sex)</w:t>
      </w:r>
      <w:r>
        <w:rPr>
          <w:sz w:val="22"/>
          <w:szCs w:val="22"/>
        </w:rPr>
        <w:t xml:space="preserve"> or </w:t>
      </w:r>
      <w:r>
        <w:rPr>
          <w:spacing w:val="-1"/>
          <w:sz w:val="22"/>
          <w:szCs w:val="22"/>
        </w:rPr>
        <w:t xml:space="preserve">non-penetrative </w:t>
      </w:r>
      <w:r>
        <w:rPr>
          <w:sz w:val="22"/>
          <w:szCs w:val="22"/>
        </w:rPr>
        <w:t xml:space="preserve">acts </w:t>
      </w:r>
      <w:r>
        <w:rPr>
          <w:spacing w:val="-1"/>
          <w:sz w:val="22"/>
          <w:szCs w:val="22"/>
        </w:rPr>
        <w:t>such</w:t>
      </w:r>
      <w:r>
        <w:rPr>
          <w:sz w:val="22"/>
          <w:szCs w:val="22"/>
        </w:rPr>
        <w:t xml:space="preserve"> as</w:t>
      </w:r>
      <w:r>
        <w:rPr>
          <w:spacing w:val="81"/>
          <w:sz w:val="22"/>
          <w:szCs w:val="22"/>
        </w:rPr>
        <w:t xml:space="preserve"> </w:t>
      </w:r>
      <w:r>
        <w:rPr>
          <w:sz w:val="22"/>
          <w:szCs w:val="22"/>
        </w:rPr>
        <w:t xml:space="preserve">masturbation, </w:t>
      </w:r>
      <w:r>
        <w:rPr>
          <w:spacing w:val="-1"/>
          <w:sz w:val="22"/>
          <w:szCs w:val="22"/>
        </w:rPr>
        <w:t>kissing,</w:t>
      </w:r>
      <w:r>
        <w:rPr>
          <w:sz w:val="22"/>
          <w:szCs w:val="22"/>
        </w:rPr>
        <w:t xml:space="preserve"> </w:t>
      </w:r>
      <w:r>
        <w:rPr>
          <w:spacing w:val="-1"/>
          <w:sz w:val="22"/>
          <w:szCs w:val="22"/>
        </w:rPr>
        <w:t>rubbing</w:t>
      </w:r>
      <w:r>
        <w:rPr>
          <w:sz w:val="22"/>
          <w:szCs w:val="22"/>
        </w:rPr>
        <w:t xml:space="preserve"> and </w:t>
      </w:r>
      <w:r>
        <w:rPr>
          <w:spacing w:val="-1"/>
          <w:sz w:val="22"/>
          <w:szCs w:val="22"/>
        </w:rPr>
        <w:t>touching</w:t>
      </w:r>
      <w:r>
        <w:rPr>
          <w:sz w:val="22"/>
          <w:szCs w:val="22"/>
        </w:rPr>
        <w:t xml:space="preserve"> outside</w:t>
      </w:r>
      <w:r>
        <w:rPr>
          <w:spacing w:val="-1"/>
          <w:sz w:val="22"/>
          <w:szCs w:val="22"/>
        </w:rPr>
        <w:t xml:space="preserve"> </w:t>
      </w:r>
      <w:r>
        <w:rPr>
          <w:sz w:val="22"/>
          <w:szCs w:val="22"/>
        </w:rPr>
        <w:t xml:space="preserve">of </w:t>
      </w:r>
      <w:r>
        <w:rPr>
          <w:spacing w:val="-1"/>
          <w:sz w:val="22"/>
          <w:szCs w:val="22"/>
        </w:rPr>
        <w:t>clothing.</w:t>
      </w:r>
      <w:r>
        <w:rPr>
          <w:sz w:val="22"/>
          <w:szCs w:val="22"/>
        </w:rPr>
        <w:t xml:space="preserve"> They </w:t>
      </w:r>
      <w:r>
        <w:rPr>
          <w:sz w:val="22"/>
          <w:szCs w:val="22"/>
        </w:rPr>
        <w:lastRenderedPageBreak/>
        <w:t>may also</w:t>
      </w:r>
      <w:r>
        <w:rPr>
          <w:spacing w:val="-1"/>
          <w:sz w:val="22"/>
          <w:szCs w:val="22"/>
        </w:rPr>
        <w:t xml:space="preserve"> include</w:t>
      </w:r>
      <w:r>
        <w:rPr>
          <w:spacing w:val="65"/>
          <w:sz w:val="22"/>
          <w:szCs w:val="22"/>
        </w:rPr>
        <w:t xml:space="preserve"> </w:t>
      </w:r>
      <w:r>
        <w:rPr>
          <w:spacing w:val="-1"/>
          <w:sz w:val="22"/>
          <w:szCs w:val="22"/>
        </w:rPr>
        <w:t>non-contact</w:t>
      </w:r>
      <w:r>
        <w:rPr>
          <w:sz w:val="22"/>
          <w:szCs w:val="22"/>
        </w:rPr>
        <w:t xml:space="preserve"> </w:t>
      </w:r>
      <w:r>
        <w:rPr>
          <w:spacing w:val="-1"/>
          <w:sz w:val="22"/>
          <w:szCs w:val="22"/>
        </w:rPr>
        <w:t>activities,</w:t>
      </w:r>
      <w:r>
        <w:rPr>
          <w:sz w:val="22"/>
          <w:szCs w:val="22"/>
        </w:rPr>
        <w:t xml:space="preserve"> such as </w:t>
      </w:r>
      <w:r>
        <w:rPr>
          <w:spacing w:val="-1"/>
          <w:sz w:val="22"/>
          <w:szCs w:val="22"/>
        </w:rPr>
        <w:t>involving</w:t>
      </w:r>
      <w:r>
        <w:rPr>
          <w:sz w:val="22"/>
          <w:szCs w:val="22"/>
        </w:rPr>
        <w:t xml:space="preserve"> </w:t>
      </w:r>
      <w:r>
        <w:rPr>
          <w:spacing w:val="-1"/>
          <w:sz w:val="22"/>
          <w:szCs w:val="22"/>
        </w:rPr>
        <w:t>children</w:t>
      </w:r>
      <w:r>
        <w:rPr>
          <w:sz w:val="22"/>
          <w:szCs w:val="22"/>
        </w:rPr>
        <w:t xml:space="preserve"> in</w:t>
      </w:r>
      <w:r>
        <w:rPr>
          <w:spacing w:val="-1"/>
          <w:sz w:val="22"/>
          <w:szCs w:val="22"/>
        </w:rPr>
        <w:t xml:space="preserve"> </w:t>
      </w:r>
      <w:r>
        <w:rPr>
          <w:sz w:val="22"/>
          <w:szCs w:val="22"/>
        </w:rPr>
        <w:t>looking at, or in</w:t>
      </w:r>
      <w:r>
        <w:rPr>
          <w:spacing w:val="-1"/>
          <w:sz w:val="22"/>
          <w:szCs w:val="22"/>
        </w:rPr>
        <w:t xml:space="preserve"> </w:t>
      </w:r>
      <w:r>
        <w:rPr>
          <w:sz w:val="22"/>
          <w:szCs w:val="22"/>
        </w:rPr>
        <w:t xml:space="preserve">the </w:t>
      </w:r>
      <w:r>
        <w:rPr>
          <w:spacing w:val="-1"/>
          <w:sz w:val="22"/>
          <w:szCs w:val="22"/>
        </w:rPr>
        <w:t>production</w:t>
      </w:r>
      <w:r>
        <w:rPr>
          <w:sz w:val="22"/>
          <w:szCs w:val="22"/>
        </w:rPr>
        <w:t xml:space="preserve"> of,</w:t>
      </w:r>
      <w:r>
        <w:rPr>
          <w:spacing w:val="85"/>
          <w:sz w:val="22"/>
          <w:szCs w:val="22"/>
        </w:rPr>
        <w:t xml:space="preserve"> </w:t>
      </w:r>
      <w:r>
        <w:rPr>
          <w:spacing w:val="-1"/>
          <w:sz w:val="22"/>
          <w:szCs w:val="22"/>
        </w:rPr>
        <w:t>sexual</w:t>
      </w:r>
      <w:r>
        <w:rPr>
          <w:sz w:val="22"/>
          <w:szCs w:val="22"/>
        </w:rPr>
        <w:t xml:space="preserve"> images, watching</w:t>
      </w:r>
      <w:r>
        <w:rPr>
          <w:spacing w:val="-1"/>
          <w:sz w:val="22"/>
          <w:szCs w:val="22"/>
        </w:rPr>
        <w:t xml:space="preserve"> sexual</w:t>
      </w:r>
      <w:r>
        <w:rPr>
          <w:sz w:val="22"/>
          <w:szCs w:val="22"/>
        </w:rPr>
        <w:t xml:space="preserve"> </w:t>
      </w:r>
      <w:r>
        <w:rPr>
          <w:spacing w:val="-1"/>
          <w:sz w:val="22"/>
          <w:szCs w:val="22"/>
        </w:rPr>
        <w:t>activities,</w:t>
      </w:r>
      <w:r>
        <w:rPr>
          <w:sz w:val="22"/>
          <w:szCs w:val="22"/>
        </w:rPr>
        <w:t xml:space="preserve"> </w:t>
      </w:r>
      <w:r>
        <w:rPr>
          <w:spacing w:val="-1"/>
          <w:sz w:val="22"/>
          <w:szCs w:val="22"/>
        </w:rPr>
        <w:t>encouraging</w:t>
      </w:r>
      <w:r>
        <w:rPr>
          <w:sz w:val="22"/>
          <w:szCs w:val="22"/>
        </w:rPr>
        <w:t xml:space="preserve"> </w:t>
      </w:r>
      <w:r>
        <w:rPr>
          <w:spacing w:val="-1"/>
          <w:sz w:val="22"/>
          <w:szCs w:val="22"/>
        </w:rPr>
        <w:t>children</w:t>
      </w:r>
      <w:r>
        <w:rPr>
          <w:sz w:val="22"/>
          <w:szCs w:val="22"/>
        </w:rPr>
        <w:t xml:space="preserve"> to behave</w:t>
      </w:r>
      <w:r>
        <w:rPr>
          <w:spacing w:val="-1"/>
          <w:sz w:val="22"/>
          <w:szCs w:val="22"/>
        </w:rPr>
        <w:t xml:space="preserve"> </w:t>
      </w:r>
      <w:r>
        <w:rPr>
          <w:sz w:val="22"/>
          <w:szCs w:val="22"/>
        </w:rPr>
        <w:t xml:space="preserve">in </w:t>
      </w:r>
      <w:r>
        <w:rPr>
          <w:spacing w:val="-1"/>
          <w:sz w:val="22"/>
          <w:szCs w:val="22"/>
        </w:rPr>
        <w:t>sexually</w:t>
      </w:r>
      <w:r>
        <w:rPr>
          <w:spacing w:val="83"/>
          <w:sz w:val="22"/>
          <w:szCs w:val="22"/>
        </w:rPr>
        <w:t xml:space="preserve"> </w:t>
      </w:r>
      <w:r>
        <w:rPr>
          <w:spacing w:val="-1"/>
          <w:sz w:val="22"/>
          <w:szCs w:val="22"/>
        </w:rPr>
        <w:t>inappropriate</w:t>
      </w:r>
      <w:r>
        <w:rPr>
          <w:sz w:val="22"/>
          <w:szCs w:val="22"/>
        </w:rPr>
        <w:t xml:space="preserve"> </w:t>
      </w:r>
      <w:r>
        <w:rPr>
          <w:spacing w:val="-1"/>
          <w:sz w:val="22"/>
          <w:szCs w:val="22"/>
        </w:rPr>
        <w:t>ways,</w:t>
      </w:r>
      <w:r>
        <w:rPr>
          <w:sz w:val="22"/>
          <w:szCs w:val="22"/>
        </w:rPr>
        <w:t xml:space="preserve"> or </w:t>
      </w:r>
      <w:r>
        <w:rPr>
          <w:spacing w:val="-1"/>
          <w:sz w:val="22"/>
          <w:szCs w:val="22"/>
        </w:rPr>
        <w:t>grooming</w:t>
      </w:r>
      <w:r>
        <w:rPr>
          <w:sz w:val="22"/>
          <w:szCs w:val="22"/>
        </w:rPr>
        <w:t xml:space="preserve"> a </w:t>
      </w:r>
      <w:r>
        <w:rPr>
          <w:spacing w:val="-1"/>
          <w:sz w:val="22"/>
          <w:szCs w:val="22"/>
        </w:rPr>
        <w:t>child</w:t>
      </w:r>
      <w:r>
        <w:rPr>
          <w:sz w:val="22"/>
          <w:szCs w:val="22"/>
        </w:rPr>
        <w:t xml:space="preserve"> in preparation for </w:t>
      </w:r>
      <w:r>
        <w:rPr>
          <w:spacing w:val="-1"/>
          <w:sz w:val="22"/>
          <w:szCs w:val="22"/>
        </w:rPr>
        <w:t>abuse</w:t>
      </w:r>
      <w:r>
        <w:rPr>
          <w:sz w:val="22"/>
          <w:szCs w:val="22"/>
        </w:rPr>
        <w:t xml:space="preserve"> (including</w:t>
      </w:r>
      <w:r>
        <w:rPr>
          <w:spacing w:val="-1"/>
          <w:sz w:val="22"/>
          <w:szCs w:val="22"/>
        </w:rPr>
        <w:t xml:space="preserve"> </w:t>
      </w:r>
      <w:r>
        <w:rPr>
          <w:sz w:val="22"/>
          <w:szCs w:val="22"/>
        </w:rPr>
        <w:t>via the</w:t>
      </w:r>
      <w:r>
        <w:rPr>
          <w:spacing w:val="61"/>
          <w:sz w:val="22"/>
          <w:szCs w:val="22"/>
        </w:rPr>
        <w:t xml:space="preserve"> </w:t>
      </w:r>
      <w:r>
        <w:rPr>
          <w:spacing w:val="-1"/>
          <w:sz w:val="22"/>
          <w:szCs w:val="22"/>
        </w:rPr>
        <w:t>internet).</w:t>
      </w:r>
      <w:r>
        <w:rPr>
          <w:sz w:val="22"/>
          <w:szCs w:val="22"/>
        </w:rPr>
        <w:t xml:space="preserve"> </w:t>
      </w:r>
      <w:r>
        <w:rPr>
          <w:spacing w:val="-1"/>
          <w:sz w:val="22"/>
          <w:szCs w:val="22"/>
        </w:rPr>
        <w:t>Sexual</w:t>
      </w:r>
      <w:r>
        <w:rPr>
          <w:sz w:val="22"/>
          <w:szCs w:val="22"/>
        </w:rPr>
        <w:t xml:space="preserve"> </w:t>
      </w:r>
      <w:r>
        <w:rPr>
          <w:spacing w:val="-1"/>
          <w:sz w:val="22"/>
          <w:szCs w:val="22"/>
        </w:rPr>
        <w:t>abuse</w:t>
      </w:r>
      <w:r>
        <w:rPr>
          <w:sz w:val="22"/>
          <w:szCs w:val="22"/>
        </w:rPr>
        <w:t xml:space="preserve"> is not </w:t>
      </w:r>
      <w:r>
        <w:rPr>
          <w:spacing w:val="-1"/>
          <w:sz w:val="22"/>
          <w:szCs w:val="22"/>
        </w:rPr>
        <w:t>solely</w:t>
      </w:r>
      <w:r>
        <w:rPr>
          <w:sz w:val="22"/>
          <w:szCs w:val="22"/>
        </w:rPr>
        <w:t xml:space="preserve"> perpetrated by </w:t>
      </w:r>
      <w:r>
        <w:rPr>
          <w:spacing w:val="-1"/>
          <w:sz w:val="22"/>
          <w:szCs w:val="22"/>
        </w:rPr>
        <w:t>adult</w:t>
      </w:r>
      <w:r>
        <w:rPr>
          <w:sz w:val="22"/>
          <w:szCs w:val="22"/>
        </w:rPr>
        <w:t xml:space="preserve"> </w:t>
      </w:r>
      <w:r>
        <w:rPr>
          <w:spacing w:val="-1"/>
          <w:sz w:val="22"/>
          <w:szCs w:val="22"/>
        </w:rPr>
        <w:t>males.</w:t>
      </w:r>
      <w:r>
        <w:rPr>
          <w:sz w:val="22"/>
          <w:szCs w:val="22"/>
        </w:rPr>
        <w:t xml:space="preserve"> Women can also commit</w:t>
      </w:r>
      <w:r>
        <w:rPr>
          <w:spacing w:val="59"/>
          <w:sz w:val="22"/>
          <w:szCs w:val="22"/>
        </w:rPr>
        <w:t xml:space="preserve"> </w:t>
      </w:r>
      <w:r>
        <w:rPr>
          <w:sz w:val="22"/>
          <w:szCs w:val="22"/>
        </w:rPr>
        <w:t xml:space="preserve">acts of </w:t>
      </w:r>
      <w:r>
        <w:rPr>
          <w:spacing w:val="-1"/>
          <w:sz w:val="22"/>
          <w:szCs w:val="22"/>
        </w:rPr>
        <w:t xml:space="preserve">sexual </w:t>
      </w:r>
      <w:r>
        <w:rPr>
          <w:sz w:val="22"/>
          <w:szCs w:val="22"/>
        </w:rPr>
        <w:t xml:space="preserve">abuse, as can other </w:t>
      </w:r>
      <w:r>
        <w:rPr>
          <w:spacing w:val="-1"/>
          <w:sz w:val="22"/>
          <w:szCs w:val="22"/>
        </w:rPr>
        <w:t>children.</w:t>
      </w:r>
    </w:p>
    <w:p>
      <w:pPr>
        <w:rPr>
          <w:rFonts w:eastAsia="Arial"/>
          <w:sz w:val="22"/>
          <w:szCs w:val="22"/>
        </w:rPr>
      </w:pPr>
    </w:p>
    <w:p>
      <w:pPr>
        <w:pStyle w:val="BodyText"/>
        <w:widowControl w:val="0"/>
        <w:tabs>
          <w:tab w:val="left" w:pos="824"/>
        </w:tabs>
        <w:spacing w:after="0" w:line="288" w:lineRule="auto"/>
        <w:ind w:left="720" w:right="104"/>
        <w:rPr>
          <w:spacing w:val="-1"/>
          <w:sz w:val="22"/>
          <w:szCs w:val="22"/>
        </w:rPr>
      </w:pPr>
      <w:r>
        <w:rPr>
          <w:rFonts w:eastAsia="Arial"/>
          <w:b/>
          <w:bCs/>
          <w:spacing w:val="-1"/>
          <w:sz w:val="22"/>
          <w:szCs w:val="22"/>
        </w:rPr>
        <w:t>Neglect</w:t>
      </w:r>
      <w:r>
        <w:rPr>
          <w:spacing w:val="-1"/>
          <w:sz w:val="22"/>
          <w:szCs w:val="22"/>
        </w:rPr>
        <w:t>:</w:t>
      </w:r>
      <w:r>
        <w:rPr>
          <w:sz w:val="22"/>
          <w:szCs w:val="22"/>
        </w:rPr>
        <w:t xml:space="preserve"> </w:t>
      </w:r>
      <w:r>
        <w:rPr>
          <w:spacing w:val="-1"/>
          <w:sz w:val="22"/>
          <w:szCs w:val="22"/>
        </w:rPr>
        <w:t>the</w:t>
      </w:r>
      <w:r>
        <w:rPr>
          <w:sz w:val="22"/>
          <w:szCs w:val="22"/>
        </w:rPr>
        <w:t xml:space="preserve"> persistent </w:t>
      </w:r>
      <w:r>
        <w:rPr>
          <w:spacing w:val="-1"/>
          <w:sz w:val="22"/>
          <w:szCs w:val="22"/>
        </w:rPr>
        <w:t>failure</w:t>
      </w:r>
      <w:r>
        <w:rPr>
          <w:sz w:val="22"/>
          <w:szCs w:val="22"/>
        </w:rPr>
        <w:t xml:space="preserve"> to</w:t>
      </w:r>
      <w:r>
        <w:rPr>
          <w:spacing w:val="-1"/>
          <w:sz w:val="22"/>
          <w:szCs w:val="22"/>
        </w:rPr>
        <w:t xml:space="preserve"> </w:t>
      </w:r>
      <w:r>
        <w:rPr>
          <w:sz w:val="22"/>
          <w:szCs w:val="22"/>
        </w:rPr>
        <w:t xml:space="preserve">meet a </w:t>
      </w:r>
      <w:r>
        <w:rPr>
          <w:spacing w:val="-1"/>
          <w:sz w:val="22"/>
          <w:szCs w:val="22"/>
        </w:rPr>
        <w:t>child</w:t>
      </w:r>
      <w:r>
        <w:rPr>
          <w:rFonts w:eastAsia="Arial"/>
          <w:spacing w:val="-1"/>
          <w:sz w:val="22"/>
          <w:szCs w:val="22"/>
        </w:rPr>
        <w:t>’s</w:t>
      </w:r>
      <w:r>
        <w:rPr>
          <w:rFonts w:eastAsia="Arial"/>
          <w:sz w:val="22"/>
          <w:szCs w:val="22"/>
        </w:rPr>
        <w:t xml:space="preserve"> </w:t>
      </w:r>
      <w:r>
        <w:rPr>
          <w:rFonts w:eastAsia="Arial"/>
          <w:spacing w:val="-1"/>
          <w:sz w:val="22"/>
          <w:szCs w:val="22"/>
        </w:rPr>
        <w:t>basic</w:t>
      </w:r>
      <w:r>
        <w:rPr>
          <w:rFonts w:eastAsia="Arial"/>
          <w:sz w:val="22"/>
          <w:szCs w:val="22"/>
        </w:rPr>
        <w:t xml:space="preserve"> physical and/or </w:t>
      </w:r>
      <w:r>
        <w:rPr>
          <w:rFonts w:eastAsia="Arial"/>
          <w:spacing w:val="-1"/>
          <w:sz w:val="22"/>
          <w:szCs w:val="22"/>
        </w:rPr>
        <w:t>psychological</w:t>
      </w:r>
      <w:r>
        <w:rPr>
          <w:rFonts w:eastAsia="Arial"/>
          <w:spacing w:val="71"/>
          <w:sz w:val="22"/>
          <w:szCs w:val="22"/>
        </w:rPr>
        <w:t xml:space="preserve"> </w:t>
      </w:r>
      <w:r>
        <w:rPr>
          <w:spacing w:val="-1"/>
          <w:sz w:val="22"/>
          <w:szCs w:val="22"/>
        </w:rPr>
        <w:t>needs,</w:t>
      </w:r>
      <w:r>
        <w:rPr>
          <w:sz w:val="22"/>
          <w:szCs w:val="22"/>
        </w:rPr>
        <w:t xml:space="preserve"> </w:t>
      </w:r>
      <w:r>
        <w:rPr>
          <w:spacing w:val="-1"/>
          <w:sz w:val="22"/>
          <w:szCs w:val="22"/>
        </w:rPr>
        <w:t>likely</w:t>
      </w:r>
      <w:r>
        <w:rPr>
          <w:sz w:val="22"/>
          <w:szCs w:val="22"/>
        </w:rPr>
        <w:t xml:space="preserve"> to result </w:t>
      </w:r>
      <w:r>
        <w:rPr>
          <w:spacing w:val="-1"/>
          <w:sz w:val="22"/>
          <w:szCs w:val="22"/>
        </w:rPr>
        <w:t>in</w:t>
      </w:r>
      <w:r>
        <w:rPr>
          <w:sz w:val="22"/>
          <w:szCs w:val="22"/>
        </w:rPr>
        <w:t xml:space="preserve"> the serious </w:t>
      </w:r>
      <w:r>
        <w:rPr>
          <w:spacing w:val="-1"/>
          <w:sz w:val="22"/>
          <w:szCs w:val="22"/>
        </w:rPr>
        <w:t>impairment</w:t>
      </w:r>
      <w:r>
        <w:rPr>
          <w:sz w:val="22"/>
          <w:szCs w:val="22"/>
        </w:rPr>
        <w:t xml:space="preserve"> of the</w:t>
      </w:r>
      <w:r>
        <w:rPr>
          <w:spacing w:val="2"/>
          <w:sz w:val="22"/>
          <w:szCs w:val="22"/>
        </w:rPr>
        <w:t xml:space="preserve"> </w:t>
      </w:r>
      <w:r>
        <w:rPr>
          <w:rFonts w:eastAsia="Arial"/>
          <w:spacing w:val="-1"/>
          <w:sz w:val="22"/>
          <w:szCs w:val="22"/>
        </w:rPr>
        <w:t>child’s</w:t>
      </w:r>
      <w:r>
        <w:rPr>
          <w:rFonts w:eastAsia="Arial"/>
          <w:sz w:val="22"/>
          <w:szCs w:val="22"/>
        </w:rPr>
        <w:t xml:space="preserve"> health or </w:t>
      </w:r>
      <w:r>
        <w:rPr>
          <w:rFonts w:eastAsia="Arial"/>
          <w:spacing w:val="-1"/>
          <w:sz w:val="22"/>
          <w:szCs w:val="22"/>
        </w:rPr>
        <w:t>development.</w:t>
      </w:r>
      <w:r>
        <w:rPr>
          <w:rFonts w:eastAsia="Arial"/>
          <w:spacing w:val="71"/>
          <w:sz w:val="22"/>
          <w:szCs w:val="22"/>
        </w:rPr>
        <w:t xml:space="preserve"> </w:t>
      </w:r>
      <w:r>
        <w:rPr>
          <w:spacing w:val="-1"/>
          <w:sz w:val="22"/>
          <w:szCs w:val="22"/>
        </w:rPr>
        <w:t>Neglect</w:t>
      </w:r>
      <w:r>
        <w:rPr>
          <w:sz w:val="22"/>
          <w:szCs w:val="22"/>
        </w:rPr>
        <w:t xml:space="preserve"> </w:t>
      </w:r>
      <w:r>
        <w:rPr>
          <w:spacing w:val="-1"/>
          <w:sz w:val="22"/>
          <w:szCs w:val="22"/>
        </w:rPr>
        <w:t>may</w:t>
      </w:r>
      <w:r>
        <w:rPr>
          <w:sz w:val="22"/>
          <w:szCs w:val="22"/>
        </w:rPr>
        <w:t xml:space="preserve"> occur </w:t>
      </w:r>
      <w:r>
        <w:rPr>
          <w:spacing w:val="-1"/>
          <w:sz w:val="22"/>
          <w:szCs w:val="22"/>
        </w:rPr>
        <w:t>during</w:t>
      </w:r>
      <w:r>
        <w:rPr>
          <w:sz w:val="22"/>
          <w:szCs w:val="22"/>
        </w:rPr>
        <w:t xml:space="preserve"> pregnancy as a </w:t>
      </w:r>
      <w:r>
        <w:rPr>
          <w:spacing w:val="-1"/>
          <w:sz w:val="22"/>
          <w:szCs w:val="22"/>
        </w:rPr>
        <w:t>result</w:t>
      </w:r>
      <w:r>
        <w:rPr>
          <w:sz w:val="22"/>
          <w:szCs w:val="22"/>
        </w:rPr>
        <w:t xml:space="preserve"> of </w:t>
      </w:r>
      <w:r>
        <w:rPr>
          <w:spacing w:val="-1"/>
          <w:sz w:val="22"/>
          <w:szCs w:val="22"/>
        </w:rPr>
        <w:t>maternal</w:t>
      </w:r>
      <w:r>
        <w:rPr>
          <w:sz w:val="22"/>
          <w:szCs w:val="22"/>
        </w:rPr>
        <w:t xml:space="preserve"> substance </w:t>
      </w:r>
      <w:r>
        <w:rPr>
          <w:spacing w:val="-1"/>
          <w:sz w:val="22"/>
          <w:szCs w:val="22"/>
        </w:rPr>
        <w:t>abuse.</w:t>
      </w:r>
      <w:r>
        <w:rPr>
          <w:sz w:val="22"/>
          <w:szCs w:val="22"/>
        </w:rPr>
        <w:t xml:space="preserve"> Once a</w:t>
      </w:r>
      <w:r>
        <w:rPr>
          <w:spacing w:val="53"/>
          <w:sz w:val="22"/>
          <w:szCs w:val="22"/>
        </w:rPr>
        <w:t xml:space="preserve"> </w:t>
      </w:r>
      <w:r>
        <w:rPr>
          <w:spacing w:val="-1"/>
          <w:sz w:val="22"/>
          <w:szCs w:val="22"/>
        </w:rPr>
        <w:t xml:space="preserve">child </w:t>
      </w:r>
      <w:r>
        <w:rPr>
          <w:sz w:val="22"/>
          <w:szCs w:val="22"/>
        </w:rPr>
        <w:t xml:space="preserve">is born, </w:t>
      </w:r>
      <w:r>
        <w:rPr>
          <w:spacing w:val="-1"/>
          <w:sz w:val="22"/>
          <w:szCs w:val="22"/>
        </w:rPr>
        <w:t>neglect</w:t>
      </w:r>
      <w:r>
        <w:rPr>
          <w:sz w:val="22"/>
          <w:szCs w:val="22"/>
        </w:rPr>
        <w:t xml:space="preserve"> may </w:t>
      </w:r>
      <w:r>
        <w:rPr>
          <w:spacing w:val="-1"/>
          <w:sz w:val="22"/>
          <w:szCs w:val="22"/>
        </w:rPr>
        <w:t>involve</w:t>
      </w:r>
      <w:r>
        <w:rPr>
          <w:sz w:val="22"/>
          <w:szCs w:val="22"/>
        </w:rPr>
        <w:t xml:space="preserve"> a parent or carer </w:t>
      </w:r>
      <w:r>
        <w:rPr>
          <w:spacing w:val="-1"/>
          <w:sz w:val="22"/>
          <w:szCs w:val="22"/>
        </w:rPr>
        <w:t>failing</w:t>
      </w:r>
      <w:r>
        <w:rPr>
          <w:sz w:val="22"/>
          <w:szCs w:val="22"/>
        </w:rPr>
        <w:t xml:space="preserve"> to: </w:t>
      </w:r>
      <w:r>
        <w:rPr>
          <w:spacing w:val="-1"/>
          <w:sz w:val="22"/>
          <w:szCs w:val="22"/>
        </w:rPr>
        <w:t>provide</w:t>
      </w:r>
      <w:r>
        <w:rPr>
          <w:sz w:val="22"/>
          <w:szCs w:val="22"/>
        </w:rPr>
        <w:t xml:space="preserve"> adequate food,</w:t>
      </w:r>
      <w:r>
        <w:rPr>
          <w:spacing w:val="51"/>
          <w:sz w:val="22"/>
          <w:szCs w:val="22"/>
        </w:rPr>
        <w:t xml:space="preserve"> </w:t>
      </w:r>
      <w:r>
        <w:rPr>
          <w:spacing w:val="-1"/>
          <w:sz w:val="22"/>
          <w:szCs w:val="22"/>
        </w:rPr>
        <w:t xml:space="preserve">clothing </w:t>
      </w:r>
      <w:r>
        <w:rPr>
          <w:sz w:val="22"/>
          <w:szCs w:val="22"/>
        </w:rPr>
        <w:t xml:space="preserve">and </w:t>
      </w:r>
      <w:r>
        <w:rPr>
          <w:spacing w:val="-1"/>
          <w:sz w:val="22"/>
          <w:szCs w:val="22"/>
        </w:rPr>
        <w:t>shelter</w:t>
      </w:r>
      <w:r>
        <w:rPr>
          <w:sz w:val="22"/>
          <w:szCs w:val="22"/>
        </w:rPr>
        <w:t xml:space="preserve"> </w:t>
      </w:r>
      <w:r>
        <w:rPr>
          <w:spacing w:val="-1"/>
          <w:sz w:val="22"/>
          <w:szCs w:val="22"/>
        </w:rPr>
        <w:t>(including</w:t>
      </w:r>
      <w:r>
        <w:rPr>
          <w:sz w:val="22"/>
          <w:szCs w:val="22"/>
        </w:rPr>
        <w:t xml:space="preserve"> </w:t>
      </w:r>
      <w:r>
        <w:rPr>
          <w:spacing w:val="-1"/>
          <w:sz w:val="22"/>
          <w:szCs w:val="22"/>
        </w:rPr>
        <w:t>exclusion</w:t>
      </w:r>
      <w:r>
        <w:rPr>
          <w:sz w:val="22"/>
          <w:szCs w:val="22"/>
        </w:rPr>
        <w:t xml:space="preserve"> </w:t>
      </w:r>
      <w:r>
        <w:rPr>
          <w:spacing w:val="-1"/>
          <w:sz w:val="22"/>
          <w:szCs w:val="22"/>
        </w:rPr>
        <w:t>from</w:t>
      </w:r>
      <w:r>
        <w:rPr>
          <w:sz w:val="22"/>
          <w:szCs w:val="22"/>
        </w:rPr>
        <w:t xml:space="preserve"> home or</w:t>
      </w:r>
      <w:r>
        <w:rPr>
          <w:spacing w:val="1"/>
          <w:sz w:val="22"/>
          <w:szCs w:val="22"/>
        </w:rPr>
        <w:t xml:space="preserve"> </w:t>
      </w:r>
      <w:r>
        <w:rPr>
          <w:spacing w:val="-1"/>
          <w:sz w:val="22"/>
          <w:szCs w:val="22"/>
        </w:rPr>
        <w:t>abandonment);</w:t>
      </w:r>
      <w:r>
        <w:rPr>
          <w:sz w:val="22"/>
          <w:szCs w:val="22"/>
        </w:rPr>
        <w:t xml:space="preserve"> </w:t>
      </w:r>
      <w:r>
        <w:rPr>
          <w:spacing w:val="-1"/>
          <w:sz w:val="22"/>
          <w:szCs w:val="22"/>
        </w:rPr>
        <w:t>protect</w:t>
      </w:r>
      <w:r>
        <w:rPr>
          <w:sz w:val="22"/>
          <w:szCs w:val="22"/>
        </w:rPr>
        <w:t xml:space="preserve"> a </w:t>
      </w:r>
      <w:r>
        <w:rPr>
          <w:spacing w:val="-1"/>
          <w:sz w:val="22"/>
          <w:szCs w:val="22"/>
        </w:rPr>
        <w:t>child</w:t>
      </w:r>
      <w:r>
        <w:rPr>
          <w:spacing w:val="107"/>
          <w:sz w:val="22"/>
          <w:szCs w:val="22"/>
        </w:rPr>
        <w:t xml:space="preserve"> </w:t>
      </w:r>
      <w:r>
        <w:rPr>
          <w:sz w:val="22"/>
          <w:szCs w:val="22"/>
        </w:rPr>
        <w:t xml:space="preserve">from </w:t>
      </w:r>
      <w:r>
        <w:rPr>
          <w:spacing w:val="-1"/>
          <w:sz w:val="22"/>
          <w:szCs w:val="22"/>
        </w:rPr>
        <w:t>physical</w:t>
      </w:r>
      <w:r>
        <w:rPr>
          <w:sz w:val="22"/>
          <w:szCs w:val="22"/>
        </w:rPr>
        <w:t xml:space="preserve"> </w:t>
      </w:r>
      <w:r>
        <w:rPr>
          <w:spacing w:val="-1"/>
          <w:sz w:val="22"/>
          <w:szCs w:val="22"/>
        </w:rPr>
        <w:t>and</w:t>
      </w:r>
      <w:r>
        <w:rPr>
          <w:sz w:val="22"/>
          <w:szCs w:val="22"/>
        </w:rPr>
        <w:t xml:space="preserve"> emotional harm or danger; </w:t>
      </w:r>
      <w:r>
        <w:rPr>
          <w:spacing w:val="-1"/>
          <w:sz w:val="22"/>
          <w:szCs w:val="22"/>
        </w:rPr>
        <w:t>ensure</w:t>
      </w:r>
      <w:r>
        <w:rPr>
          <w:sz w:val="22"/>
          <w:szCs w:val="22"/>
        </w:rPr>
        <w:t xml:space="preserve"> </w:t>
      </w:r>
      <w:r>
        <w:rPr>
          <w:spacing w:val="-1"/>
          <w:sz w:val="22"/>
          <w:szCs w:val="22"/>
        </w:rPr>
        <w:t>adequate</w:t>
      </w:r>
      <w:r>
        <w:rPr>
          <w:sz w:val="22"/>
          <w:szCs w:val="22"/>
        </w:rPr>
        <w:t xml:space="preserve"> </w:t>
      </w:r>
      <w:r>
        <w:rPr>
          <w:spacing w:val="-1"/>
          <w:sz w:val="22"/>
          <w:szCs w:val="22"/>
        </w:rPr>
        <w:t>supervision</w:t>
      </w:r>
      <w:r>
        <w:rPr>
          <w:sz w:val="22"/>
          <w:szCs w:val="22"/>
        </w:rPr>
        <w:t xml:space="preserve"> </w:t>
      </w:r>
      <w:r>
        <w:rPr>
          <w:spacing w:val="-1"/>
          <w:sz w:val="22"/>
          <w:szCs w:val="22"/>
        </w:rPr>
        <w:t>(including</w:t>
      </w:r>
      <w:r>
        <w:rPr>
          <w:sz w:val="22"/>
          <w:szCs w:val="22"/>
        </w:rPr>
        <w:t xml:space="preserve"> the</w:t>
      </w:r>
      <w:r>
        <w:rPr>
          <w:spacing w:val="77"/>
          <w:sz w:val="22"/>
          <w:szCs w:val="22"/>
        </w:rPr>
        <w:t xml:space="preserve"> </w:t>
      </w:r>
      <w:r>
        <w:rPr>
          <w:sz w:val="22"/>
          <w:szCs w:val="22"/>
        </w:rPr>
        <w:t xml:space="preserve">use of </w:t>
      </w:r>
      <w:r>
        <w:rPr>
          <w:spacing w:val="-1"/>
          <w:sz w:val="22"/>
          <w:szCs w:val="22"/>
        </w:rPr>
        <w:t>inadequate</w:t>
      </w:r>
      <w:r>
        <w:rPr>
          <w:sz w:val="22"/>
          <w:szCs w:val="22"/>
        </w:rPr>
        <w:t xml:space="preserve"> </w:t>
      </w:r>
      <w:r>
        <w:rPr>
          <w:spacing w:val="-1"/>
          <w:sz w:val="22"/>
          <w:szCs w:val="22"/>
        </w:rPr>
        <w:t>care-givers);</w:t>
      </w:r>
      <w:r>
        <w:rPr>
          <w:sz w:val="22"/>
          <w:szCs w:val="22"/>
        </w:rPr>
        <w:t xml:space="preserve"> </w:t>
      </w:r>
      <w:r>
        <w:rPr>
          <w:spacing w:val="-1"/>
          <w:sz w:val="22"/>
          <w:szCs w:val="22"/>
        </w:rPr>
        <w:t>or</w:t>
      </w:r>
      <w:r>
        <w:rPr>
          <w:sz w:val="22"/>
          <w:szCs w:val="22"/>
        </w:rPr>
        <w:t xml:space="preserve"> </w:t>
      </w:r>
      <w:r>
        <w:rPr>
          <w:spacing w:val="-1"/>
          <w:sz w:val="22"/>
          <w:szCs w:val="22"/>
        </w:rPr>
        <w:t>ensure</w:t>
      </w:r>
      <w:r>
        <w:rPr>
          <w:sz w:val="22"/>
          <w:szCs w:val="22"/>
        </w:rPr>
        <w:t xml:space="preserve"> </w:t>
      </w:r>
      <w:r>
        <w:rPr>
          <w:spacing w:val="-1"/>
          <w:sz w:val="22"/>
          <w:szCs w:val="22"/>
        </w:rPr>
        <w:t>access</w:t>
      </w:r>
      <w:r>
        <w:rPr>
          <w:sz w:val="22"/>
          <w:szCs w:val="22"/>
        </w:rPr>
        <w:t xml:space="preserve"> to </w:t>
      </w:r>
      <w:r>
        <w:rPr>
          <w:spacing w:val="-1"/>
          <w:sz w:val="22"/>
          <w:szCs w:val="22"/>
        </w:rPr>
        <w:t>appropriate</w:t>
      </w:r>
      <w:r>
        <w:rPr>
          <w:sz w:val="22"/>
          <w:szCs w:val="22"/>
        </w:rPr>
        <w:t xml:space="preserve"> </w:t>
      </w:r>
      <w:r>
        <w:rPr>
          <w:spacing w:val="-1"/>
          <w:sz w:val="22"/>
          <w:szCs w:val="22"/>
        </w:rPr>
        <w:t>medical</w:t>
      </w:r>
      <w:r>
        <w:rPr>
          <w:sz w:val="22"/>
          <w:szCs w:val="22"/>
        </w:rPr>
        <w:t xml:space="preserve"> care or</w:t>
      </w:r>
      <w:r>
        <w:rPr>
          <w:spacing w:val="89"/>
          <w:sz w:val="22"/>
          <w:szCs w:val="22"/>
        </w:rPr>
        <w:t xml:space="preserve"> </w:t>
      </w:r>
      <w:r>
        <w:rPr>
          <w:sz w:val="22"/>
          <w:szCs w:val="22"/>
        </w:rPr>
        <w:t>treatment.</w:t>
      </w:r>
      <w:r>
        <w:rPr>
          <w:spacing w:val="-1"/>
          <w:sz w:val="22"/>
          <w:szCs w:val="22"/>
        </w:rPr>
        <w:t xml:space="preserve"> </w:t>
      </w:r>
      <w:r>
        <w:rPr>
          <w:sz w:val="22"/>
          <w:szCs w:val="22"/>
        </w:rPr>
        <w:t>It may also</w:t>
      </w:r>
      <w:r>
        <w:rPr>
          <w:spacing w:val="-1"/>
          <w:sz w:val="22"/>
          <w:szCs w:val="22"/>
        </w:rPr>
        <w:t xml:space="preserve"> include</w:t>
      </w:r>
      <w:r>
        <w:rPr>
          <w:sz w:val="22"/>
          <w:szCs w:val="22"/>
        </w:rPr>
        <w:t xml:space="preserve"> neglect of, or </w:t>
      </w:r>
      <w:r>
        <w:rPr>
          <w:spacing w:val="-1"/>
          <w:sz w:val="22"/>
          <w:szCs w:val="22"/>
        </w:rPr>
        <w:t>unresponsive</w:t>
      </w:r>
      <w:r>
        <w:rPr>
          <w:rFonts w:eastAsia="Arial"/>
          <w:spacing w:val="-1"/>
          <w:sz w:val="22"/>
          <w:szCs w:val="22"/>
        </w:rPr>
        <w:t>ness</w:t>
      </w:r>
      <w:r>
        <w:rPr>
          <w:rFonts w:eastAsia="Arial"/>
          <w:sz w:val="22"/>
          <w:szCs w:val="22"/>
        </w:rPr>
        <w:t xml:space="preserve"> to, a</w:t>
      </w:r>
      <w:r>
        <w:rPr>
          <w:rFonts w:eastAsia="Arial"/>
          <w:spacing w:val="-1"/>
          <w:sz w:val="22"/>
          <w:szCs w:val="22"/>
        </w:rPr>
        <w:t xml:space="preserve"> child’s</w:t>
      </w:r>
      <w:r>
        <w:rPr>
          <w:rFonts w:eastAsia="Arial"/>
          <w:sz w:val="22"/>
          <w:szCs w:val="22"/>
        </w:rPr>
        <w:t xml:space="preserve"> basic</w:t>
      </w:r>
      <w:r>
        <w:rPr>
          <w:rFonts w:eastAsia="Arial"/>
          <w:spacing w:val="51"/>
          <w:sz w:val="22"/>
          <w:szCs w:val="22"/>
        </w:rPr>
        <w:t xml:space="preserve"> </w:t>
      </w:r>
      <w:r>
        <w:rPr>
          <w:sz w:val="22"/>
          <w:szCs w:val="22"/>
        </w:rPr>
        <w:t xml:space="preserve">emotional </w:t>
      </w:r>
      <w:r>
        <w:rPr>
          <w:spacing w:val="-1"/>
          <w:sz w:val="22"/>
          <w:szCs w:val="22"/>
        </w:rPr>
        <w:t>needs.</w:t>
      </w:r>
    </w:p>
    <w:p>
      <w:pPr>
        <w:pStyle w:val="BodyText"/>
        <w:widowControl w:val="0"/>
        <w:tabs>
          <w:tab w:val="left" w:pos="824"/>
        </w:tabs>
        <w:spacing w:after="0" w:line="288" w:lineRule="auto"/>
        <w:ind w:left="720" w:right="104"/>
        <w:rPr>
          <w:spacing w:val="-1"/>
          <w:sz w:val="22"/>
          <w:szCs w:val="22"/>
        </w:rPr>
      </w:pPr>
    </w:p>
    <w:p>
      <w:pPr>
        <w:pStyle w:val="BodyText"/>
        <w:widowControl w:val="0"/>
        <w:tabs>
          <w:tab w:val="left" w:pos="824"/>
        </w:tabs>
        <w:spacing w:after="0" w:line="288" w:lineRule="auto"/>
        <w:ind w:right="104"/>
        <w:rPr>
          <w:spacing w:val="-1"/>
          <w:sz w:val="22"/>
          <w:szCs w:val="22"/>
        </w:rPr>
      </w:pPr>
    </w:p>
    <w:p>
      <w:pPr>
        <w:pStyle w:val="BodyText"/>
        <w:widowControl w:val="0"/>
        <w:tabs>
          <w:tab w:val="left" w:pos="824"/>
        </w:tabs>
        <w:spacing w:after="0" w:line="288" w:lineRule="auto"/>
        <w:ind w:right="104"/>
        <w:rPr>
          <w:b/>
          <w:spacing w:val="-1"/>
          <w:sz w:val="22"/>
          <w:szCs w:val="22"/>
        </w:rPr>
      </w:pPr>
      <w:r>
        <w:rPr>
          <w:b/>
          <w:spacing w:val="-1"/>
          <w:sz w:val="22"/>
          <w:szCs w:val="22"/>
        </w:rPr>
        <w:t>Specific Safeguarding Issues</w:t>
      </w:r>
    </w:p>
    <w:p>
      <w:pPr>
        <w:pStyle w:val="BodyText"/>
        <w:widowControl w:val="0"/>
        <w:tabs>
          <w:tab w:val="left" w:pos="824"/>
        </w:tabs>
        <w:spacing w:after="0" w:line="288" w:lineRule="auto"/>
        <w:ind w:right="104"/>
        <w:rPr>
          <w:spacing w:val="-1"/>
          <w:sz w:val="22"/>
          <w:szCs w:val="22"/>
        </w:rPr>
      </w:pPr>
      <w:r>
        <w:rPr>
          <w:spacing w:val="-1"/>
          <w:sz w:val="22"/>
          <w:szCs w:val="22"/>
        </w:rPr>
        <w:t>Lincoln UTC recognises that expert and professional organisations are best placed to provide up-to-date guidance and practical support on specific safeguarding issues. The UTC uses the following web links to access the most recent information on key issues:</w:t>
      </w:r>
    </w:p>
    <w:p>
      <w:pPr>
        <w:pStyle w:val="BodyText"/>
        <w:widowControl w:val="0"/>
        <w:numPr>
          <w:ilvl w:val="0"/>
          <w:numId w:val="1"/>
        </w:numPr>
        <w:tabs>
          <w:tab w:val="left" w:pos="835"/>
        </w:tabs>
        <w:spacing w:after="0"/>
        <w:rPr>
          <w:rFonts w:eastAsia="Arial"/>
          <w:sz w:val="22"/>
          <w:szCs w:val="22"/>
        </w:rPr>
      </w:pPr>
      <w:hyperlink r:id="rId19" w:history="1">
        <w:r>
          <w:rPr>
            <w:rStyle w:val="Hyperlink"/>
            <w:rFonts w:eastAsia="Arial"/>
            <w:sz w:val="22"/>
            <w:szCs w:val="22"/>
          </w:rPr>
          <w:t>children missing from education</w:t>
        </w:r>
      </w:hyperlink>
      <w:r>
        <w:rPr>
          <w:rFonts w:eastAsia="Arial"/>
          <w:sz w:val="22"/>
          <w:szCs w:val="22"/>
        </w:rPr>
        <w:t xml:space="preserve"> – Annex A</w:t>
      </w:r>
    </w:p>
    <w:p>
      <w:pPr>
        <w:pStyle w:val="BodyText"/>
        <w:widowControl w:val="0"/>
        <w:numPr>
          <w:ilvl w:val="0"/>
          <w:numId w:val="1"/>
        </w:numPr>
        <w:tabs>
          <w:tab w:val="left" w:pos="835"/>
        </w:tabs>
        <w:spacing w:after="0"/>
        <w:rPr>
          <w:rStyle w:val="Hyperlink"/>
          <w:rFonts w:eastAsia="Arial"/>
          <w:color w:val="auto"/>
          <w:sz w:val="22"/>
          <w:szCs w:val="22"/>
          <w:u w:val="none"/>
        </w:rPr>
      </w:pPr>
      <w:hyperlink r:id="rId20" w:history="1">
        <w:r>
          <w:rPr>
            <w:rStyle w:val="Hyperlink"/>
            <w:rFonts w:eastAsia="Arial"/>
            <w:sz w:val="22"/>
            <w:szCs w:val="22"/>
          </w:rPr>
          <w:t>children missing from home or care</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21" w:history="1">
        <w:r>
          <w:rPr>
            <w:rStyle w:val="Hyperlink"/>
            <w:rFonts w:eastAsia="Arial"/>
            <w:sz w:val="22"/>
            <w:szCs w:val="22"/>
          </w:rPr>
          <w:t>child sexual exploitation (CSE)</w:t>
        </w:r>
      </w:hyperlink>
      <w:r>
        <w:rPr>
          <w:rStyle w:val="Hyperlink"/>
          <w:rFonts w:eastAsia="Arial"/>
          <w:color w:val="auto"/>
          <w:sz w:val="22"/>
          <w:szCs w:val="22"/>
          <w:u w:val="none"/>
        </w:rPr>
        <w:t xml:space="preserve"> – Annex A</w:t>
      </w:r>
    </w:p>
    <w:p>
      <w:pPr>
        <w:pStyle w:val="BodyText"/>
        <w:widowControl w:val="0"/>
        <w:numPr>
          <w:ilvl w:val="0"/>
          <w:numId w:val="1"/>
        </w:numPr>
        <w:tabs>
          <w:tab w:val="left" w:pos="835"/>
        </w:tabs>
        <w:spacing w:after="0"/>
        <w:rPr>
          <w:rStyle w:val="Hyperlink"/>
          <w:rFonts w:eastAsia="Arial"/>
          <w:color w:val="auto"/>
          <w:sz w:val="22"/>
          <w:szCs w:val="22"/>
          <w:u w:val="none"/>
        </w:rPr>
      </w:pPr>
      <w:hyperlink r:id="rId22" w:history="1">
        <w:r>
          <w:rPr>
            <w:rStyle w:val="Hyperlink"/>
            <w:rFonts w:eastAsia="Arial"/>
            <w:sz w:val="22"/>
            <w:szCs w:val="22"/>
          </w:rPr>
          <w:t>bullying including cyberbullying</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23" w:history="1">
        <w:r>
          <w:rPr>
            <w:rStyle w:val="Hyperlink"/>
            <w:rFonts w:eastAsia="Arial"/>
            <w:sz w:val="22"/>
            <w:szCs w:val="22"/>
          </w:rPr>
          <w:t>domestic violence</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24" w:history="1">
        <w:r>
          <w:rPr>
            <w:rStyle w:val="Hyperlink"/>
            <w:rFonts w:eastAsia="Arial"/>
            <w:sz w:val="22"/>
            <w:szCs w:val="22"/>
          </w:rPr>
          <w:t>drugs</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25" w:history="1">
        <w:r>
          <w:rPr>
            <w:rStyle w:val="Hyperlink"/>
            <w:rFonts w:eastAsia="Arial"/>
            <w:sz w:val="22"/>
            <w:szCs w:val="22"/>
          </w:rPr>
          <w:t>fabricated or induced illness</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26" w:history="1">
        <w:r>
          <w:rPr>
            <w:rStyle w:val="Hyperlink"/>
            <w:rFonts w:eastAsia="Arial"/>
            <w:sz w:val="22"/>
            <w:szCs w:val="22"/>
          </w:rPr>
          <w:t>faith abuse</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27" w:history="1">
        <w:r>
          <w:rPr>
            <w:rStyle w:val="Hyperlink"/>
            <w:sz w:val="22"/>
            <w:szCs w:val="22"/>
          </w:rPr>
          <w:t>multi-agency statutory guidance on female genital mutilation</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28" w:history="1">
        <w:r>
          <w:rPr>
            <w:rStyle w:val="Hyperlink"/>
            <w:rFonts w:eastAsia="Arial"/>
            <w:sz w:val="22"/>
            <w:szCs w:val="22"/>
          </w:rPr>
          <w:t>forced marriage</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29" w:history="1">
        <w:r>
          <w:rPr>
            <w:rStyle w:val="Hyperlink"/>
            <w:rFonts w:eastAsia="Arial"/>
            <w:sz w:val="22"/>
            <w:szCs w:val="22"/>
          </w:rPr>
          <w:t>gangs and youth violence</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30" w:history="1">
        <w:r>
          <w:rPr>
            <w:rStyle w:val="Hyperlink"/>
            <w:rFonts w:eastAsia="Arial"/>
            <w:sz w:val="22"/>
            <w:szCs w:val="22"/>
          </w:rPr>
          <w:t>gender-based violence/violence against women and girls (VAWG)</w:t>
        </w:r>
      </w:hyperlink>
    </w:p>
    <w:p>
      <w:pPr>
        <w:pStyle w:val="BodyText"/>
        <w:widowControl w:val="0"/>
        <w:numPr>
          <w:ilvl w:val="0"/>
          <w:numId w:val="1"/>
        </w:numPr>
        <w:tabs>
          <w:tab w:val="left" w:pos="835"/>
        </w:tabs>
        <w:spacing w:after="0"/>
        <w:rPr>
          <w:rFonts w:eastAsia="Arial"/>
          <w:sz w:val="22"/>
          <w:szCs w:val="22"/>
        </w:rPr>
      </w:pPr>
      <w:hyperlink r:id="rId31" w:history="1">
        <w:r>
          <w:rPr>
            <w:rStyle w:val="Hyperlink"/>
            <w:rFonts w:eastAsia="Arial"/>
            <w:sz w:val="22"/>
            <w:szCs w:val="22"/>
          </w:rPr>
          <w:t>private fostering</w:t>
        </w:r>
      </w:hyperlink>
    </w:p>
    <w:p>
      <w:pPr>
        <w:pStyle w:val="BodyText"/>
        <w:widowControl w:val="0"/>
        <w:numPr>
          <w:ilvl w:val="0"/>
          <w:numId w:val="1"/>
        </w:numPr>
        <w:tabs>
          <w:tab w:val="left" w:pos="835"/>
        </w:tabs>
        <w:spacing w:after="0"/>
        <w:rPr>
          <w:rStyle w:val="Hyperlink"/>
          <w:rFonts w:eastAsia="Arial"/>
          <w:color w:val="auto"/>
          <w:sz w:val="22"/>
          <w:szCs w:val="22"/>
          <w:u w:val="none"/>
        </w:rPr>
      </w:pPr>
      <w:hyperlink r:id="rId32" w:history="1">
        <w:r>
          <w:rPr>
            <w:rStyle w:val="Hyperlink"/>
            <w:rFonts w:eastAsia="Arial"/>
            <w:sz w:val="22"/>
            <w:szCs w:val="22"/>
          </w:rPr>
          <w:t>teenage relationship abuse</w:t>
        </w:r>
      </w:hyperlink>
      <w:r>
        <w:rPr>
          <w:rStyle w:val="Hyperlink"/>
          <w:rFonts w:eastAsia="Arial"/>
          <w:sz w:val="22"/>
          <w:szCs w:val="22"/>
        </w:rPr>
        <w:t xml:space="preserve"> </w:t>
      </w:r>
    </w:p>
    <w:p>
      <w:pPr>
        <w:pStyle w:val="BodyText"/>
        <w:widowControl w:val="0"/>
        <w:numPr>
          <w:ilvl w:val="0"/>
          <w:numId w:val="1"/>
        </w:numPr>
        <w:tabs>
          <w:tab w:val="left" w:pos="835"/>
        </w:tabs>
        <w:spacing w:after="0"/>
        <w:rPr>
          <w:rFonts w:eastAsia="Arial"/>
          <w:sz w:val="22"/>
          <w:szCs w:val="22"/>
        </w:rPr>
      </w:pPr>
      <w:hyperlink r:id="rId33" w:history="1">
        <w:r>
          <w:rPr>
            <w:rStyle w:val="Hyperlink"/>
            <w:rFonts w:eastAsia="Arial"/>
            <w:sz w:val="22"/>
            <w:szCs w:val="22"/>
          </w:rPr>
          <w:t>trafficking</w:t>
        </w:r>
      </w:hyperlink>
      <w:r>
        <w:rPr>
          <w:rStyle w:val="Hyperlink"/>
          <w:rFonts w:eastAsia="Arial"/>
          <w:sz w:val="22"/>
          <w:szCs w:val="22"/>
        </w:rPr>
        <w:t xml:space="preserve"> </w:t>
      </w:r>
    </w:p>
    <w:p>
      <w:pPr>
        <w:pStyle w:val="ListParagraph"/>
        <w:numPr>
          <w:ilvl w:val="0"/>
          <w:numId w:val="1"/>
        </w:numPr>
        <w:rPr>
          <w:sz w:val="22"/>
          <w:szCs w:val="22"/>
        </w:rPr>
      </w:pPr>
      <w:hyperlink r:id="rId34" w:history="1">
        <w:r>
          <w:rPr>
            <w:rStyle w:val="Hyperlink"/>
            <w:sz w:val="22"/>
            <w:szCs w:val="22"/>
          </w:rPr>
          <w:t>Hate</w:t>
        </w:r>
      </w:hyperlink>
    </w:p>
    <w:p>
      <w:pPr>
        <w:pStyle w:val="ListParagraph"/>
        <w:numPr>
          <w:ilvl w:val="0"/>
          <w:numId w:val="1"/>
        </w:numPr>
        <w:rPr>
          <w:sz w:val="22"/>
          <w:szCs w:val="22"/>
        </w:rPr>
      </w:pPr>
      <w:hyperlink r:id="rId35" w:history="1">
        <w:r>
          <w:rPr>
            <w:rStyle w:val="Hyperlink"/>
            <w:sz w:val="22"/>
            <w:szCs w:val="22"/>
          </w:rPr>
          <w:t>Mental Health</w:t>
        </w:r>
      </w:hyperlink>
    </w:p>
    <w:p>
      <w:pPr>
        <w:pStyle w:val="ListParagraph"/>
        <w:numPr>
          <w:ilvl w:val="0"/>
          <w:numId w:val="1"/>
        </w:numPr>
        <w:rPr>
          <w:sz w:val="22"/>
          <w:szCs w:val="22"/>
        </w:rPr>
      </w:pPr>
      <w:hyperlink r:id="rId36" w:history="1">
        <w:r>
          <w:rPr>
            <w:rStyle w:val="Hyperlink"/>
            <w:sz w:val="22"/>
            <w:szCs w:val="22"/>
          </w:rPr>
          <w:t>Missing children and adult strategy</w:t>
        </w:r>
      </w:hyperlink>
    </w:p>
    <w:p>
      <w:pPr>
        <w:pStyle w:val="ListParagraph"/>
        <w:numPr>
          <w:ilvl w:val="0"/>
          <w:numId w:val="1"/>
        </w:numPr>
        <w:rPr>
          <w:sz w:val="22"/>
          <w:szCs w:val="22"/>
        </w:rPr>
      </w:pPr>
      <w:hyperlink r:id="rId37" w:history="1">
        <w:r>
          <w:rPr>
            <w:rStyle w:val="Hyperlink"/>
            <w:sz w:val="22"/>
            <w:szCs w:val="22"/>
          </w:rPr>
          <w:t>Preventing radicalisation</w:t>
        </w:r>
      </w:hyperlink>
      <w:r>
        <w:rPr>
          <w:sz w:val="22"/>
          <w:szCs w:val="22"/>
        </w:rPr>
        <w:t xml:space="preserve"> – Annex A</w:t>
      </w:r>
    </w:p>
    <w:p>
      <w:pPr>
        <w:pStyle w:val="ListParagraph"/>
        <w:numPr>
          <w:ilvl w:val="0"/>
          <w:numId w:val="1"/>
        </w:numPr>
        <w:rPr>
          <w:sz w:val="22"/>
          <w:szCs w:val="22"/>
        </w:rPr>
      </w:pPr>
      <w:hyperlink r:id="rId38" w:history="1">
        <w:r>
          <w:rPr>
            <w:rStyle w:val="Hyperlink"/>
            <w:sz w:val="22"/>
            <w:szCs w:val="22"/>
          </w:rPr>
          <w:t>Relationship abuse</w:t>
        </w:r>
      </w:hyperlink>
    </w:p>
    <w:p>
      <w:pPr>
        <w:pStyle w:val="ListParagraph"/>
        <w:numPr>
          <w:ilvl w:val="0"/>
          <w:numId w:val="1"/>
        </w:numPr>
        <w:rPr>
          <w:rStyle w:val="Hyperlink"/>
          <w:color w:val="auto"/>
          <w:sz w:val="22"/>
          <w:szCs w:val="22"/>
          <w:u w:val="none"/>
        </w:rPr>
      </w:pPr>
      <w:hyperlink r:id="rId39" w:history="1">
        <w:r>
          <w:rPr>
            <w:rStyle w:val="Hyperlink"/>
            <w:sz w:val="22"/>
            <w:szCs w:val="22"/>
          </w:rPr>
          <w:t>Sexting</w:t>
        </w:r>
      </w:hyperlink>
    </w:p>
    <w:p>
      <w:pPr>
        <w:pStyle w:val="BodyText"/>
        <w:widowControl w:val="0"/>
        <w:tabs>
          <w:tab w:val="left" w:pos="835"/>
        </w:tabs>
        <w:spacing w:after="0"/>
        <w:rPr>
          <w:rStyle w:val="Hyperlink"/>
          <w:rFonts w:eastAsia="Arial"/>
          <w:color w:val="auto"/>
          <w:sz w:val="22"/>
          <w:szCs w:val="22"/>
          <w:u w:val="none"/>
        </w:rPr>
      </w:pPr>
    </w:p>
    <w:p>
      <w:pPr>
        <w:pStyle w:val="s10"/>
        <w:spacing w:before="45" w:beforeAutospacing="0" w:after="45" w:afterAutospacing="0"/>
        <w:rPr>
          <w:rFonts w:ascii="Arial" w:hAnsi="Arial" w:cs="Arial"/>
          <w:sz w:val="22"/>
          <w:szCs w:val="22"/>
          <w:u w:val="single"/>
        </w:rPr>
      </w:pPr>
      <w:r>
        <w:rPr>
          <w:rFonts w:ascii="Arial" w:hAnsi="Arial" w:cs="Arial"/>
          <w:sz w:val="22"/>
          <w:szCs w:val="22"/>
          <w:u w:val="single"/>
        </w:rPr>
        <w:t>Peer on peer abuse including Bullying</w:t>
      </w:r>
    </w:p>
    <w:p>
      <w:pPr>
        <w:widowControl w:val="0"/>
        <w:autoSpaceDE w:val="0"/>
        <w:autoSpaceDN w:val="0"/>
        <w:adjustRightInd w:val="0"/>
        <w:spacing w:line="292" w:lineRule="exact"/>
        <w:ind w:right="37"/>
        <w:rPr>
          <w:spacing w:val="-3"/>
          <w:sz w:val="22"/>
          <w:szCs w:val="22"/>
        </w:rPr>
      </w:pPr>
      <w:r>
        <w:rPr>
          <w:spacing w:val="-1"/>
          <w:sz w:val="22"/>
          <w:szCs w:val="22"/>
        </w:rPr>
        <w:t xml:space="preserve">The School aims to comply with Section 154 of the Education Act 1996 by maintaining an </w:t>
      </w:r>
      <w:r>
        <w:rPr>
          <w:sz w:val="22"/>
          <w:szCs w:val="22"/>
        </w:rPr>
        <w:t xml:space="preserve">ethos and environment which will encourage and foster acceptable standards of behaviour, </w:t>
      </w:r>
      <w:r>
        <w:rPr>
          <w:spacing w:val="-3"/>
          <w:sz w:val="22"/>
          <w:szCs w:val="22"/>
        </w:rPr>
        <w:t xml:space="preserve">good personal relationships and a respect for the individual. </w:t>
      </w:r>
    </w:p>
    <w:p>
      <w:pPr>
        <w:widowControl w:val="0"/>
        <w:autoSpaceDE w:val="0"/>
        <w:autoSpaceDN w:val="0"/>
        <w:adjustRightInd w:val="0"/>
        <w:spacing w:line="292" w:lineRule="exact"/>
        <w:ind w:right="37"/>
        <w:rPr>
          <w:spacing w:val="-3"/>
          <w:sz w:val="22"/>
          <w:szCs w:val="22"/>
        </w:rPr>
      </w:pPr>
    </w:p>
    <w:p>
      <w:pPr>
        <w:spacing w:before="45" w:after="45"/>
        <w:jc w:val="both"/>
        <w:rPr>
          <w:sz w:val="22"/>
          <w:szCs w:val="22"/>
        </w:rPr>
      </w:pPr>
      <w:r>
        <w:rPr>
          <w:sz w:val="22"/>
          <w:szCs w:val="22"/>
        </w:rPr>
        <w:lastRenderedPageBreak/>
        <w:t xml:space="preserve">Our school may be the only stable, secure and safe element in the lives of children at risk of, or who have suffered harm.  Nevertheless, whilst at school, their behaviour may be challenging and defiant, or they may instead be withdrawn, or display abusive behaviours towards other children. Our school recognises that some children may abuse their peers and any incidents of peer on peer abuse will be managed in the same way as any other child protection concern and will follow the same procedures.    </w:t>
      </w:r>
    </w:p>
    <w:p>
      <w:pPr>
        <w:spacing w:before="45" w:after="45"/>
        <w:jc w:val="both"/>
        <w:rPr>
          <w:sz w:val="22"/>
          <w:szCs w:val="22"/>
        </w:rPr>
      </w:pPr>
    </w:p>
    <w:p>
      <w:pPr>
        <w:spacing w:before="45" w:after="45"/>
        <w:jc w:val="both"/>
        <w:rPr>
          <w:sz w:val="22"/>
          <w:szCs w:val="22"/>
        </w:rPr>
      </w:pPr>
      <w:r>
        <w:rPr>
          <w:sz w:val="22"/>
          <w:szCs w:val="22"/>
        </w:rPr>
        <w:t>All staff recognise that children are capable of abusing their peers. Peer on peer abuse can manifest itself in many ways.  This may include bullying (including cyber bullying), on-line abuse, gender-based abuse, ‘sexting’ or sexually harmful behaviour.  We do not tolerate any harmful behaviour in school and will take swift action to intervene where this occurs.  We use lessons and assemblies to help children understand, in an age-appropriate way, what abuse is and we encourage them to tell a trusted adult if someone is behaving in a way that makes them feel uncomfortable.  Our school understands the different gender issues that can be prevalent when dealing with peer on peer abuse.</w:t>
      </w:r>
    </w:p>
    <w:p>
      <w:pPr>
        <w:spacing w:before="45" w:after="45"/>
        <w:jc w:val="both"/>
        <w:rPr>
          <w:sz w:val="22"/>
          <w:szCs w:val="22"/>
          <w:u w:val="single"/>
        </w:rPr>
      </w:pPr>
    </w:p>
    <w:p>
      <w:pPr>
        <w:spacing w:before="45" w:after="45"/>
        <w:jc w:val="both"/>
        <w:rPr>
          <w:sz w:val="22"/>
          <w:szCs w:val="22"/>
          <w:u w:val="single"/>
        </w:rPr>
      </w:pPr>
      <w:r>
        <w:rPr>
          <w:sz w:val="22"/>
          <w:szCs w:val="22"/>
        </w:rPr>
        <w:t>The school will follow and adhere to the guidance in the school’s Behaviour policy to address peer on peer and impose appropriate sanctions as a result of any bullying.</w:t>
      </w:r>
    </w:p>
    <w:p>
      <w:pPr>
        <w:pStyle w:val="s10"/>
        <w:spacing w:before="45" w:beforeAutospacing="0" w:after="45" w:afterAutospacing="0"/>
        <w:rPr>
          <w:rFonts w:ascii="Arial" w:hAnsi="Arial" w:cs="Arial"/>
          <w:sz w:val="22"/>
          <w:szCs w:val="22"/>
          <w:u w:val="single"/>
        </w:rPr>
      </w:pPr>
    </w:p>
    <w:p>
      <w:pPr>
        <w:pStyle w:val="s10"/>
        <w:spacing w:before="45" w:beforeAutospacing="0" w:after="45" w:afterAutospacing="0"/>
        <w:rPr>
          <w:rFonts w:ascii="Arial" w:hAnsi="Arial" w:cs="Arial"/>
          <w:sz w:val="22"/>
          <w:szCs w:val="22"/>
          <w:u w:val="single"/>
        </w:rPr>
      </w:pPr>
      <w:r>
        <w:rPr>
          <w:rFonts w:ascii="Arial" w:hAnsi="Arial" w:cs="Arial"/>
          <w:sz w:val="22"/>
          <w:szCs w:val="22"/>
          <w:u w:val="single"/>
        </w:rPr>
        <w:t>Children with special educational needs and disabilities</w:t>
      </w:r>
    </w:p>
    <w:p>
      <w:pPr>
        <w:pStyle w:val="s10"/>
        <w:spacing w:before="45" w:beforeAutospacing="0" w:after="45" w:afterAutospacing="0"/>
        <w:jc w:val="both"/>
        <w:rPr>
          <w:rFonts w:ascii="Arial" w:hAnsi="Arial" w:cs="Arial"/>
          <w:sz w:val="22"/>
          <w:szCs w:val="22"/>
        </w:rPr>
      </w:pPr>
      <w:r>
        <w:rPr>
          <w:rFonts w:ascii="Arial" w:hAnsi="Arial" w:cs="Arial"/>
          <w:sz w:val="22"/>
          <w:szCs w:val="22"/>
        </w:rPr>
        <w:t xml:space="preserve">Our school understands that children with special educational needs (SEN) and disabilities can face additional safeguarding challenges.  Additional barriers can exist when recognising abuse and neglect in this group of children.  This can include: </w:t>
      </w:r>
    </w:p>
    <w:p>
      <w:pPr>
        <w:pStyle w:val="s10"/>
        <w:spacing w:before="45" w:beforeAutospacing="0" w:after="45" w:afterAutospacing="0"/>
        <w:jc w:val="both"/>
        <w:rPr>
          <w:rFonts w:ascii="Arial" w:hAnsi="Arial" w:cs="Arial"/>
          <w:sz w:val="22"/>
          <w:szCs w:val="22"/>
        </w:rPr>
      </w:pPr>
    </w:p>
    <w:p>
      <w:pPr>
        <w:pStyle w:val="s10"/>
        <w:spacing w:before="45" w:beforeAutospacing="0" w:after="45" w:afterAutospacing="0"/>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assumptions</w:t>
      </w:r>
      <w:proofErr w:type="gramEnd"/>
      <w:r>
        <w:rPr>
          <w:rFonts w:ascii="Arial" w:hAnsi="Arial" w:cs="Arial"/>
          <w:sz w:val="22"/>
          <w:szCs w:val="22"/>
        </w:rPr>
        <w:t xml:space="preserve"> that indicators of possible abuse such as behaviour, mood and injury relate to the child’s disability without further exploration; </w:t>
      </w:r>
    </w:p>
    <w:p>
      <w:pPr>
        <w:pStyle w:val="s10"/>
        <w:spacing w:before="45" w:beforeAutospacing="0" w:after="45" w:afterAutospacing="0"/>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children</w:t>
      </w:r>
      <w:proofErr w:type="gramEnd"/>
      <w:r>
        <w:rPr>
          <w:rFonts w:ascii="Arial" w:hAnsi="Arial" w:cs="Arial"/>
          <w:sz w:val="22"/>
          <w:szCs w:val="22"/>
        </w:rPr>
        <w:t xml:space="preserve"> with SEN and disabilities can be disproportionally impacted by things like bullying- without outwardly showing any signs; </w:t>
      </w:r>
    </w:p>
    <w:p>
      <w:pPr>
        <w:pStyle w:val="s10"/>
        <w:spacing w:before="45" w:beforeAutospacing="0" w:after="45" w:afterAutospacing="0"/>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communication</w:t>
      </w:r>
      <w:proofErr w:type="gramEnd"/>
      <w:r>
        <w:rPr>
          <w:rFonts w:ascii="Arial" w:hAnsi="Arial" w:cs="Arial"/>
          <w:sz w:val="22"/>
          <w:szCs w:val="22"/>
        </w:rPr>
        <w:t xml:space="preserve"> barriers and difficulties in overcoming these barriers</w:t>
      </w:r>
    </w:p>
    <w:p>
      <w:pPr>
        <w:pStyle w:val="BodyText"/>
        <w:spacing w:line="288" w:lineRule="auto"/>
        <w:ind w:right="110"/>
        <w:rPr>
          <w:color w:val="000000"/>
          <w:sz w:val="22"/>
          <w:szCs w:val="22"/>
        </w:rPr>
      </w:pPr>
    </w:p>
    <w:p>
      <w:pPr>
        <w:pStyle w:val="s10"/>
        <w:spacing w:before="45" w:beforeAutospacing="0" w:after="45" w:afterAutospacing="0"/>
        <w:jc w:val="both"/>
        <w:rPr>
          <w:rFonts w:ascii="Arial" w:hAnsi="Arial" w:cs="Arial"/>
          <w:sz w:val="22"/>
          <w:szCs w:val="22"/>
        </w:rPr>
      </w:pPr>
      <w:r>
        <w:rPr>
          <w:rFonts w:ascii="Arial" w:hAnsi="Arial" w:cs="Arial"/>
          <w:sz w:val="22"/>
          <w:szCs w:val="22"/>
          <w:u w:val="single"/>
        </w:rPr>
        <w:t>Child Sexual Exploitation</w:t>
      </w:r>
      <w:r>
        <w:rPr>
          <w:rFonts w:ascii="Arial" w:hAnsi="Arial" w:cs="Arial"/>
          <w:sz w:val="22"/>
          <w:szCs w:val="22"/>
        </w:rPr>
        <w:t xml:space="preserve"> (CSE) </w:t>
      </w:r>
      <w:r>
        <w:rPr>
          <w:rFonts w:ascii="Arial" w:eastAsia="Times New Roman" w:hAnsi="Arial" w:cs="Arial"/>
          <w:color w:val="000000"/>
          <w:sz w:val="22"/>
          <w:szCs w:val="22"/>
        </w:rPr>
        <w:t>Child Sexual Exploitation (CSE) is a form of child abuse, which can happen to boys and girls from any background or community.  In Lincoln, the definition of Child Sexual Exploitation (CSE) from the Department of Education (</w:t>
      </w:r>
      <w:proofErr w:type="spellStart"/>
      <w:r>
        <w:rPr>
          <w:rFonts w:ascii="Arial" w:eastAsia="Times New Roman" w:hAnsi="Arial" w:cs="Arial"/>
          <w:color w:val="000000"/>
          <w:sz w:val="22"/>
          <w:szCs w:val="22"/>
        </w:rPr>
        <w:t>DfE</w:t>
      </w:r>
      <w:proofErr w:type="spellEnd"/>
      <w:r>
        <w:rPr>
          <w:rFonts w:ascii="Arial" w:eastAsia="Times New Roman" w:hAnsi="Arial" w:cs="Arial"/>
          <w:color w:val="000000"/>
          <w:sz w:val="22"/>
          <w:szCs w:val="22"/>
        </w:rPr>
        <w:t>, 2017) has been adopted:</w:t>
      </w:r>
    </w:p>
    <w:p>
      <w:pPr>
        <w:shd w:val="clear" w:color="auto" w:fill="FFFFFF"/>
        <w:spacing w:before="100" w:beforeAutospacing="1" w:after="100" w:afterAutospacing="1"/>
        <w:jc w:val="both"/>
        <w:rPr>
          <w:i/>
          <w:iCs/>
          <w:color w:val="000000"/>
          <w:sz w:val="22"/>
          <w:szCs w:val="22"/>
        </w:rPr>
      </w:pPr>
      <w:r>
        <w:rPr>
          <w:i/>
          <w:iCs/>
          <w:color w:val="000000"/>
          <w:sz w:val="22"/>
          <w:szCs w:val="22"/>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pPr>
        <w:pStyle w:val="s10"/>
        <w:spacing w:before="45" w:beforeAutospacing="0" w:after="45" w:afterAutospacing="0"/>
        <w:jc w:val="both"/>
        <w:rPr>
          <w:rFonts w:ascii="Arial" w:hAnsi="Arial" w:cs="Arial"/>
          <w:sz w:val="22"/>
          <w:szCs w:val="22"/>
        </w:rPr>
      </w:pPr>
      <w:r>
        <w:rPr>
          <w:rFonts w:ascii="Arial" w:hAnsi="Arial" w:cs="Arial"/>
          <w:sz w:val="22"/>
          <w:szCs w:val="22"/>
        </w:rPr>
        <w:t xml:space="preserve">It is understood that a significant number of children who are victims of CSE go missing from home, care and education at some point.  Our school is alert to the signs and indicators of a child becoming at risk of, or subject to, CSE and will take appropriate action to respond to any concerns.  The designated safeguarding lead is the named CSE Lead in school on these issues and will work with other agencies as appropriate.  </w:t>
      </w:r>
    </w:p>
    <w:p>
      <w:pPr>
        <w:pStyle w:val="s10"/>
        <w:spacing w:before="45" w:after="45"/>
        <w:rPr>
          <w:rFonts w:ascii="Arial" w:hAnsi="Arial" w:cs="Arial"/>
          <w:sz w:val="22"/>
          <w:szCs w:val="22"/>
          <w:u w:val="single"/>
        </w:rPr>
      </w:pPr>
      <w:r>
        <w:rPr>
          <w:rFonts w:ascii="Arial" w:hAnsi="Arial" w:cs="Arial"/>
          <w:sz w:val="22"/>
          <w:szCs w:val="22"/>
          <w:u w:val="single"/>
        </w:rPr>
        <w:t>Female Genital Mutilation</w:t>
      </w:r>
      <w:r>
        <w:rPr>
          <w:rFonts w:ascii="Arial" w:hAnsi="Arial" w:cs="Arial"/>
          <w:sz w:val="22"/>
          <w:szCs w:val="22"/>
        </w:rPr>
        <w:t xml:space="preserve"> (FGM</w:t>
      </w:r>
      <w:proofErr w:type="gramStart"/>
      <w:r>
        <w:rPr>
          <w:rFonts w:ascii="Arial" w:hAnsi="Arial" w:cs="Arial"/>
          <w:sz w:val="22"/>
          <w:szCs w:val="22"/>
        </w:rPr>
        <w:t>)</w:t>
      </w:r>
      <w:proofErr w:type="gramEnd"/>
      <w:r>
        <w:rPr>
          <w:rFonts w:ascii="Arial" w:hAnsi="Arial" w:cs="Arial"/>
          <w:sz w:val="22"/>
          <w:szCs w:val="22"/>
          <w:u w:val="single"/>
        </w:rPr>
        <w:br/>
      </w:r>
      <w:r>
        <w:rPr>
          <w:rFonts w:ascii="Arial" w:hAnsi="Arial" w:cs="Arial"/>
          <w:sz w:val="22"/>
          <w:szCs w:val="22"/>
        </w:rPr>
        <w:t>FGM comprises all procedures involving partial or total removal of the external female genitalia or other injury to female genital organs.  It is illegal in the UK and a form of child abuse.</w:t>
      </w:r>
    </w:p>
    <w:p>
      <w:pPr>
        <w:pStyle w:val="s10"/>
        <w:spacing w:before="45" w:beforeAutospacing="0" w:after="45" w:afterAutospacing="0"/>
        <w:jc w:val="both"/>
        <w:rPr>
          <w:rFonts w:ascii="Arial" w:hAnsi="Arial" w:cs="Arial"/>
          <w:sz w:val="22"/>
          <w:szCs w:val="22"/>
        </w:rPr>
      </w:pPr>
    </w:p>
    <w:p>
      <w:pPr>
        <w:pStyle w:val="s10"/>
        <w:spacing w:before="45" w:beforeAutospacing="0" w:after="45" w:afterAutospacing="0"/>
        <w:jc w:val="both"/>
        <w:rPr>
          <w:rFonts w:ascii="Arial" w:hAnsi="Arial" w:cs="Arial"/>
          <w:sz w:val="22"/>
          <w:szCs w:val="22"/>
        </w:rPr>
      </w:pPr>
      <w:r>
        <w:rPr>
          <w:rFonts w:ascii="Arial" w:hAnsi="Arial" w:cs="Arial"/>
          <w:sz w:val="22"/>
          <w:szCs w:val="22"/>
        </w:rPr>
        <w:lastRenderedPageBreak/>
        <w:t>As of October 2015, the Serious Crime Act 2015 (Home Office, 2015)   introduced a duty on teachers (and other professionals) to notify the police of known cases of female genital mutilation where it appears to have been carried out on a girl under the age of 18.  Our school will operate in accordance with the statutory requirements relating to this issue, and in line with existing local safeguarding procedures.</w:t>
      </w:r>
    </w:p>
    <w:p>
      <w:pPr>
        <w:pStyle w:val="s10"/>
        <w:spacing w:before="45" w:beforeAutospacing="0" w:after="45" w:afterAutospacing="0"/>
        <w:jc w:val="both"/>
        <w:rPr>
          <w:rFonts w:ascii="Arial" w:hAnsi="Arial" w:cs="Arial"/>
          <w:sz w:val="22"/>
          <w:szCs w:val="22"/>
          <w:u w:val="single"/>
        </w:rPr>
      </w:pPr>
    </w:p>
    <w:p>
      <w:pPr>
        <w:pStyle w:val="s10"/>
        <w:spacing w:before="45" w:beforeAutospacing="0" w:after="45" w:afterAutospacing="0"/>
        <w:jc w:val="both"/>
        <w:rPr>
          <w:rFonts w:ascii="Arial" w:hAnsi="Arial" w:cs="Arial"/>
          <w:sz w:val="22"/>
          <w:szCs w:val="22"/>
          <w:u w:val="single"/>
        </w:rPr>
      </w:pPr>
      <w:r>
        <w:rPr>
          <w:rFonts w:ascii="Arial" w:hAnsi="Arial" w:cs="Arial"/>
          <w:sz w:val="22"/>
          <w:szCs w:val="22"/>
          <w:u w:val="single"/>
        </w:rPr>
        <w:t>Forced marriage</w:t>
      </w:r>
    </w:p>
    <w:p>
      <w:pPr>
        <w:pStyle w:val="s10"/>
        <w:spacing w:before="45" w:beforeAutospacing="0" w:after="45" w:afterAutospacing="0"/>
        <w:jc w:val="both"/>
        <w:rPr>
          <w:rFonts w:ascii="Arial" w:hAnsi="Arial" w:cs="Arial"/>
          <w:sz w:val="22"/>
          <w:szCs w:val="22"/>
        </w:rPr>
      </w:pPr>
      <w:r>
        <w:rPr>
          <w:rFonts w:ascii="Arial" w:hAnsi="Arial" w:cs="Arial"/>
          <w:sz w:val="22"/>
          <w:szCs w:val="22"/>
        </w:rPr>
        <w:t>A forced marriage is one entered into without the full consent of one or both parties.  It is where violence, threats or other forms of coercion is used and is a crime.  Our staff understand how to report concerns where this may be an issue.</w:t>
      </w:r>
    </w:p>
    <w:p>
      <w:pPr>
        <w:pStyle w:val="s10"/>
        <w:spacing w:before="45" w:beforeAutospacing="0" w:after="45" w:afterAutospacing="0"/>
        <w:jc w:val="both"/>
        <w:rPr>
          <w:rFonts w:ascii="Arial" w:hAnsi="Arial" w:cs="Arial"/>
          <w:sz w:val="22"/>
          <w:szCs w:val="22"/>
        </w:rPr>
      </w:pPr>
    </w:p>
    <w:p>
      <w:pPr>
        <w:pStyle w:val="s10"/>
        <w:spacing w:before="45" w:beforeAutospacing="0" w:after="45" w:afterAutospacing="0"/>
        <w:jc w:val="both"/>
        <w:rPr>
          <w:rFonts w:ascii="Arial" w:hAnsi="Arial" w:cs="Arial"/>
          <w:sz w:val="22"/>
          <w:szCs w:val="22"/>
          <w:u w:val="single"/>
        </w:rPr>
      </w:pPr>
      <w:r>
        <w:rPr>
          <w:rFonts w:ascii="Arial" w:hAnsi="Arial" w:cs="Arial"/>
          <w:sz w:val="22"/>
          <w:szCs w:val="22"/>
          <w:u w:val="single"/>
        </w:rPr>
        <w:t>Prevention of radicalisation</w:t>
      </w:r>
    </w:p>
    <w:p>
      <w:pPr>
        <w:pStyle w:val="s10"/>
        <w:spacing w:before="45" w:beforeAutospacing="0" w:after="45" w:afterAutospacing="0"/>
        <w:jc w:val="both"/>
        <w:rPr>
          <w:rFonts w:ascii="Arial" w:hAnsi="Arial" w:cs="Arial"/>
          <w:sz w:val="22"/>
          <w:szCs w:val="22"/>
        </w:rPr>
      </w:pPr>
      <w:r>
        <w:rPr>
          <w:rFonts w:ascii="Arial" w:hAnsi="Arial" w:cs="Arial"/>
          <w:sz w:val="22"/>
          <w:szCs w:val="22"/>
        </w:rPr>
        <w:t xml:space="preserve">As of July 2015, the </w:t>
      </w:r>
      <w:hyperlink r:id="rId40" w:history="1">
        <w:r>
          <w:rPr>
            <w:rStyle w:val="Hyperlink"/>
            <w:rFonts w:ascii="Arial" w:hAnsi="Arial" w:cs="Arial"/>
            <w:sz w:val="22"/>
            <w:szCs w:val="22"/>
          </w:rPr>
          <w:t>Counter-Terrorism and Security Act (HMG, 2015)</w:t>
        </w:r>
      </w:hyperlink>
      <w:r>
        <w:rPr>
          <w:rFonts w:ascii="Arial" w:hAnsi="Arial" w:cs="Arial"/>
          <w:sz w:val="22"/>
          <w:szCs w:val="22"/>
        </w:rPr>
        <w:t xml:space="preserve">  placed a new duty on schools and other education providers.  Under section 26 of the Act, schools are required, in the exercise of their functions, to have “due regard to the need to prevent people from being drawn into terrorism”. This duty is known as the Prevent duty.  </w:t>
      </w:r>
    </w:p>
    <w:p>
      <w:pPr>
        <w:pStyle w:val="s10"/>
        <w:spacing w:before="45" w:beforeAutospacing="0" w:after="45" w:afterAutospacing="0"/>
        <w:jc w:val="both"/>
        <w:rPr>
          <w:rFonts w:ascii="Arial" w:hAnsi="Arial" w:cs="Arial"/>
          <w:sz w:val="22"/>
          <w:szCs w:val="22"/>
        </w:rPr>
      </w:pPr>
    </w:p>
    <w:p>
      <w:pPr>
        <w:pStyle w:val="s10"/>
        <w:spacing w:before="45" w:beforeAutospacing="0" w:after="45" w:afterAutospacing="0"/>
        <w:jc w:val="both"/>
        <w:rPr>
          <w:rFonts w:ascii="Arial" w:hAnsi="Arial" w:cs="Arial"/>
          <w:sz w:val="22"/>
          <w:szCs w:val="22"/>
        </w:rPr>
      </w:pPr>
      <w:r>
        <w:rPr>
          <w:rFonts w:ascii="Arial" w:hAnsi="Arial" w:cs="Arial"/>
          <w:sz w:val="22"/>
          <w:szCs w:val="22"/>
        </w:rPr>
        <w:t>It requires schools to:</w:t>
      </w:r>
    </w:p>
    <w:p>
      <w:pPr>
        <w:pStyle w:val="s10"/>
        <w:numPr>
          <w:ilvl w:val="0"/>
          <w:numId w:val="48"/>
        </w:numPr>
        <w:spacing w:before="45" w:after="45"/>
        <w:jc w:val="both"/>
        <w:rPr>
          <w:rFonts w:ascii="Arial" w:hAnsi="Arial" w:cs="Arial"/>
          <w:sz w:val="22"/>
          <w:szCs w:val="22"/>
        </w:rPr>
      </w:pPr>
      <w:r>
        <w:rPr>
          <w:rFonts w:ascii="Arial" w:hAnsi="Arial" w:cs="Arial"/>
          <w:sz w:val="22"/>
          <w:szCs w:val="22"/>
        </w:rPr>
        <w:t>teach a broad and balanced curriculum which promotes spiritual, moral, cultural, mental and physical development of pupils and prepares them for the opportunities, responsibilities and experiences of life and must promote community cohesion</w:t>
      </w:r>
    </w:p>
    <w:p>
      <w:pPr>
        <w:pStyle w:val="s10"/>
        <w:numPr>
          <w:ilvl w:val="0"/>
          <w:numId w:val="48"/>
        </w:numPr>
        <w:spacing w:before="45" w:after="45"/>
        <w:jc w:val="both"/>
        <w:rPr>
          <w:rFonts w:ascii="Arial" w:hAnsi="Arial" w:cs="Arial"/>
          <w:sz w:val="22"/>
          <w:szCs w:val="22"/>
        </w:rPr>
      </w:pPr>
      <w:r>
        <w:rPr>
          <w:rFonts w:ascii="Arial" w:hAnsi="Arial" w:cs="Arial"/>
          <w:sz w:val="22"/>
          <w:szCs w:val="22"/>
        </w:rPr>
        <w:t>be safe spaces in which children / young people can understand and discuss sensitive topics, including terrorism and the extremist ideas that are part of terrorist ideology, and learn how to challenge these ideas</w:t>
      </w:r>
    </w:p>
    <w:p>
      <w:pPr>
        <w:pStyle w:val="s10"/>
        <w:numPr>
          <w:ilvl w:val="0"/>
          <w:numId w:val="48"/>
        </w:numPr>
        <w:spacing w:before="45" w:after="45"/>
        <w:jc w:val="both"/>
        <w:rPr>
          <w:rFonts w:ascii="Arial" w:hAnsi="Arial" w:cs="Arial"/>
          <w:sz w:val="22"/>
          <w:szCs w:val="22"/>
        </w:rPr>
      </w:pPr>
      <w:r>
        <w:rPr>
          <w:rFonts w:ascii="Arial" w:hAnsi="Arial" w:cs="Arial"/>
          <w:sz w:val="22"/>
          <w:szCs w:val="22"/>
        </w:rPr>
        <w:t>be mindful of their existing duties to forbid political indoctrination and secure a balanced presentation of political issues</w:t>
      </w:r>
    </w:p>
    <w:p>
      <w:pPr>
        <w:pStyle w:val="s10"/>
        <w:spacing w:before="45" w:after="45"/>
        <w:jc w:val="both"/>
        <w:rPr>
          <w:rFonts w:ascii="Arial" w:hAnsi="Arial" w:cs="Arial"/>
          <w:sz w:val="22"/>
          <w:szCs w:val="22"/>
        </w:rPr>
      </w:pPr>
      <w:r>
        <w:rPr>
          <w:rFonts w:ascii="Arial" w:hAnsi="Arial" w:cs="Arial"/>
          <w:sz w:val="22"/>
          <w:szCs w:val="22"/>
        </w:rPr>
        <w:t>CHANNEL is a national programme which focuses on providing support at an early stage to people identified as vulnerable to being drawn into terrorism.  Our staff understand how to identify those who may benefit from this support and how to make a referral. The process for referral should concerns be raised about a young person can be found can be found in Safe Operating Procedure (SOP) 5 in the appendices of this document.</w:t>
      </w:r>
    </w:p>
    <w:p>
      <w:pPr>
        <w:pStyle w:val="BodyText"/>
        <w:spacing w:line="288" w:lineRule="auto"/>
        <w:ind w:right="110"/>
        <w:rPr>
          <w:color w:val="000000"/>
          <w:sz w:val="22"/>
          <w:szCs w:val="22"/>
        </w:rPr>
      </w:pPr>
      <w:r>
        <w:rPr>
          <w:color w:val="000000"/>
          <w:sz w:val="22"/>
          <w:szCs w:val="22"/>
        </w:rPr>
        <w:t>Annex A contains important additional information about specific forms of abuse and safeguarding issues. School leaders and those staff that work directly with children should read the annex.</w:t>
      </w:r>
    </w:p>
    <w:p>
      <w:pPr>
        <w:pStyle w:val="BodyText"/>
        <w:spacing w:line="288" w:lineRule="auto"/>
        <w:ind w:right="110"/>
        <w:rPr>
          <w:color w:val="000000"/>
          <w:sz w:val="22"/>
          <w:szCs w:val="22"/>
        </w:rPr>
      </w:pPr>
    </w:p>
    <w:p>
      <w:pPr>
        <w:pStyle w:val="BodyText"/>
        <w:spacing w:line="288" w:lineRule="auto"/>
        <w:ind w:right="110"/>
        <w:rPr>
          <w:sz w:val="22"/>
          <w:szCs w:val="22"/>
        </w:rPr>
      </w:pPr>
    </w:p>
    <w:p>
      <w:pPr>
        <w:pStyle w:val="PlainText"/>
        <w:jc w:val="both"/>
        <w:rPr>
          <w:rFonts w:ascii="Arial" w:hAnsi="Arial" w:cs="Arial"/>
          <w:b/>
          <w:sz w:val="22"/>
          <w:szCs w:val="22"/>
        </w:rPr>
      </w:pPr>
      <w:r>
        <w:rPr>
          <w:rFonts w:ascii="Arial" w:hAnsi="Arial" w:cs="Arial"/>
          <w:b/>
          <w:caps/>
          <w:sz w:val="22"/>
          <w:szCs w:val="22"/>
        </w:rPr>
        <w:t>5. underpinning values</w:t>
      </w:r>
    </w:p>
    <w:p>
      <w:pPr>
        <w:pStyle w:val="PlainText"/>
        <w:ind w:left="720"/>
        <w:jc w:val="both"/>
        <w:rPr>
          <w:rFonts w:ascii="Arial" w:hAnsi="Arial" w:cs="Arial"/>
          <w:b/>
          <w:sz w:val="22"/>
          <w:szCs w:val="22"/>
        </w:rPr>
      </w:pPr>
    </w:p>
    <w:p>
      <w:pPr>
        <w:jc w:val="both"/>
        <w:rPr>
          <w:sz w:val="22"/>
          <w:szCs w:val="22"/>
        </w:rPr>
      </w:pPr>
      <w:r>
        <w:rPr>
          <w:sz w:val="22"/>
          <w:szCs w:val="22"/>
        </w:rPr>
        <w:t xml:space="preserve">Where there is a safeguarding issue, the UTC will work within the following principles and in accordance with those outlined in the local Lincolnshire Safeguarding Children Board (LSCB) Inter-agency Child Protection procedures. </w:t>
      </w:r>
    </w:p>
    <w:p>
      <w:pPr>
        <w:jc w:val="both"/>
        <w:rPr>
          <w:sz w:val="22"/>
          <w:szCs w:val="22"/>
        </w:rPr>
      </w:pPr>
      <w:hyperlink r:id="rId41" w:history="1">
        <w:r>
          <w:rPr>
            <w:rStyle w:val="Hyperlink"/>
            <w:sz w:val="22"/>
            <w:szCs w:val="22"/>
          </w:rPr>
          <w:t>http://www.lincolnshire.gov.uk/lscb/the-lscb/</w:t>
        </w:r>
      </w:hyperlink>
    </w:p>
    <w:p>
      <w:pPr>
        <w:pStyle w:val="ListParagraph"/>
        <w:ind w:left="1440"/>
        <w:jc w:val="both"/>
        <w:rPr>
          <w:sz w:val="22"/>
          <w:szCs w:val="22"/>
        </w:rPr>
      </w:pPr>
    </w:p>
    <w:p>
      <w:pPr>
        <w:pStyle w:val="ListParagraph"/>
        <w:numPr>
          <w:ilvl w:val="0"/>
          <w:numId w:val="4"/>
        </w:numPr>
        <w:jc w:val="both"/>
        <w:rPr>
          <w:sz w:val="22"/>
          <w:szCs w:val="22"/>
        </w:rPr>
      </w:pPr>
      <w:r>
        <w:rPr>
          <w:sz w:val="22"/>
          <w:szCs w:val="22"/>
        </w:rPr>
        <w:t xml:space="preserve">A young person’s welfare is paramount. Every young person has a right to be protected from harm and exploitation and to have their welfare safeguarded. </w:t>
      </w:r>
    </w:p>
    <w:p>
      <w:pPr>
        <w:pStyle w:val="ListParagraph"/>
        <w:numPr>
          <w:ilvl w:val="0"/>
          <w:numId w:val="4"/>
        </w:numPr>
        <w:jc w:val="both"/>
        <w:rPr>
          <w:sz w:val="22"/>
          <w:szCs w:val="22"/>
        </w:rPr>
      </w:pPr>
      <w:r>
        <w:rPr>
          <w:sz w:val="22"/>
          <w:szCs w:val="22"/>
        </w:rPr>
        <w:t xml:space="preserve">Each young person is unique. Action taken by child welfare organisations should be child-centred, taking account of a young person’s cultural, ethnic and religious background, their gender, their sexual orientation, their individual ability and any special needs. </w:t>
      </w:r>
    </w:p>
    <w:p>
      <w:pPr>
        <w:pStyle w:val="ListParagraph"/>
        <w:numPr>
          <w:ilvl w:val="0"/>
          <w:numId w:val="4"/>
        </w:numPr>
        <w:jc w:val="both"/>
        <w:rPr>
          <w:sz w:val="22"/>
          <w:szCs w:val="22"/>
        </w:rPr>
      </w:pPr>
      <w:r>
        <w:rPr>
          <w:sz w:val="22"/>
          <w:szCs w:val="22"/>
        </w:rPr>
        <w:lastRenderedPageBreak/>
        <w:t xml:space="preserve">Young people, parents and other carers should be made aware of their responsibilities and their rights, together with advice about the power of professionals to intervene in their family circumstances. </w:t>
      </w:r>
    </w:p>
    <w:p>
      <w:pPr>
        <w:pStyle w:val="ListParagraph"/>
        <w:numPr>
          <w:ilvl w:val="0"/>
          <w:numId w:val="4"/>
        </w:numPr>
        <w:jc w:val="both"/>
        <w:rPr>
          <w:sz w:val="22"/>
          <w:szCs w:val="22"/>
        </w:rPr>
      </w:pPr>
      <w:r>
        <w:rPr>
          <w:sz w:val="22"/>
          <w:szCs w:val="22"/>
        </w:rPr>
        <w:t xml:space="preserve">Each young person has a right to be consulted about actions taken by others on his/her behalf. The concerns of young people and their families should be listened to and due consideration given to their understanding, wishes and feelings. </w:t>
      </w:r>
    </w:p>
    <w:p>
      <w:pPr>
        <w:pStyle w:val="ListParagraph"/>
        <w:numPr>
          <w:ilvl w:val="0"/>
          <w:numId w:val="4"/>
        </w:numPr>
        <w:jc w:val="both"/>
        <w:rPr>
          <w:sz w:val="22"/>
          <w:szCs w:val="22"/>
        </w:rPr>
      </w:pPr>
      <w:r>
        <w:rPr>
          <w:sz w:val="22"/>
          <w:szCs w:val="22"/>
        </w:rPr>
        <w:t xml:space="preserve">Individual family members must be involved in decisions affecting them. They must be treated with courtesy and respect and with due regard given to working with them in a spirit of partnership in safeguarding children’s welfare. </w:t>
      </w:r>
    </w:p>
    <w:p>
      <w:pPr>
        <w:pStyle w:val="ListParagraph"/>
        <w:numPr>
          <w:ilvl w:val="0"/>
          <w:numId w:val="4"/>
        </w:numPr>
        <w:jc w:val="both"/>
        <w:rPr>
          <w:sz w:val="22"/>
          <w:szCs w:val="22"/>
        </w:rPr>
      </w:pPr>
      <w:r>
        <w:rPr>
          <w:sz w:val="22"/>
          <w:szCs w:val="22"/>
        </w:rPr>
        <w:t xml:space="preserve">Open-mindedness and honesty must guide each stage of assessment and of operational practice. The strengths of individual family members, as well as their needs, should be given due consideration. </w:t>
      </w:r>
    </w:p>
    <w:p>
      <w:pPr>
        <w:pStyle w:val="ListParagraph"/>
        <w:numPr>
          <w:ilvl w:val="0"/>
          <w:numId w:val="4"/>
        </w:numPr>
        <w:jc w:val="both"/>
        <w:rPr>
          <w:sz w:val="22"/>
          <w:szCs w:val="22"/>
        </w:rPr>
      </w:pPr>
      <w:r>
        <w:rPr>
          <w:sz w:val="22"/>
          <w:szCs w:val="22"/>
        </w:rPr>
        <w:t>Personal information is confidential. It should only be shared with the permission of the individual concerned, or unless the disclosure of confidential personal information is necessary in order to protect a young person. In all circumstances, information must be confined to those people directly involved in the professional network of each individual young person and on a strict ‘need to know’ basis. The designated safeguarding lead should ensure a pupil’s child protection file is transferred to their new school or college should they move on.</w:t>
      </w:r>
    </w:p>
    <w:p>
      <w:pPr>
        <w:pStyle w:val="ListParagraph"/>
        <w:numPr>
          <w:ilvl w:val="0"/>
          <w:numId w:val="4"/>
        </w:numPr>
        <w:jc w:val="both"/>
        <w:rPr>
          <w:sz w:val="22"/>
          <w:szCs w:val="22"/>
        </w:rPr>
      </w:pPr>
      <w:r>
        <w:rPr>
          <w:sz w:val="22"/>
          <w:szCs w:val="22"/>
        </w:rPr>
        <w:t xml:space="preserve">Professionals should be aware of the effects of outside intervention upon young people, upon family life and the impact and implications of what they say and do. </w:t>
      </w:r>
    </w:p>
    <w:p>
      <w:pPr>
        <w:pStyle w:val="ListParagraph"/>
        <w:numPr>
          <w:ilvl w:val="0"/>
          <w:numId w:val="4"/>
        </w:numPr>
        <w:jc w:val="both"/>
        <w:rPr>
          <w:sz w:val="22"/>
          <w:szCs w:val="22"/>
        </w:rPr>
      </w:pPr>
      <w:r>
        <w:rPr>
          <w:sz w:val="22"/>
          <w:szCs w:val="22"/>
        </w:rPr>
        <w:t xml:space="preserve">Explanations by professionals to young people, their families and other carers should be plainly stated and jargon-free. Unavoidable technical and professional terminology should be explained in simple terms. </w:t>
      </w:r>
    </w:p>
    <w:p>
      <w:pPr>
        <w:pStyle w:val="ListParagraph"/>
        <w:numPr>
          <w:ilvl w:val="0"/>
          <w:numId w:val="4"/>
        </w:numPr>
        <w:jc w:val="both"/>
        <w:rPr>
          <w:sz w:val="22"/>
          <w:szCs w:val="22"/>
        </w:rPr>
      </w:pPr>
      <w:r>
        <w:rPr>
          <w:sz w:val="22"/>
          <w:szCs w:val="22"/>
        </w:rPr>
        <w:t xml:space="preserve">Sound professional practice is based upon positive inter-agency collaboration, evidence-based research and effective supervision and evaluation. </w:t>
      </w:r>
    </w:p>
    <w:p>
      <w:pPr>
        <w:pStyle w:val="ListParagraph"/>
        <w:numPr>
          <w:ilvl w:val="0"/>
          <w:numId w:val="4"/>
        </w:numPr>
        <w:jc w:val="both"/>
        <w:rPr>
          <w:sz w:val="22"/>
          <w:szCs w:val="22"/>
        </w:rPr>
      </w:pPr>
      <w:r>
        <w:rPr>
          <w:sz w:val="22"/>
          <w:szCs w:val="22"/>
        </w:rPr>
        <w:t xml:space="preserve">Early intervention in providing support services under Section 17 of the Children Act (1989) is an important principle of practice in inter-agency arrangements for safeguarding welfare of young people. </w:t>
      </w:r>
    </w:p>
    <w:p>
      <w:pPr>
        <w:rPr>
          <w:sz w:val="22"/>
          <w:szCs w:val="22"/>
        </w:rPr>
      </w:pPr>
    </w:p>
    <w:p>
      <w:pPr>
        <w:rPr>
          <w:sz w:val="22"/>
          <w:szCs w:val="22"/>
        </w:rPr>
      </w:pPr>
    </w:p>
    <w:p>
      <w:pPr>
        <w:rPr>
          <w:sz w:val="22"/>
          <w:szCs w:val="22"/>
        </w:rPr>
      </w:pPr>
      <w:r>
        <w:rPr>
          <w:b/>
          <w:caps/>
          <w:sz w:val="22"/>
          <w:szCs w:val="22"/>
        </w:rPr>
        <w:t>6. supporting young people at risk</w:t>
      </w:r>
    </w:p>
    <w:p>
      <w:pPr>
        <w:pStyle w:val="PlainText"/>
        <w:ind w:left="720"/>
        <w:jc w:val="both"/>
        <w:rPr>
          <w:rFonts w:ascii="Arial" w:hAnsi="Arial" w:cs="Arial"/>
          <w:b/>
          <w:sz w:val="22"/>
          <w:szCs w:val="22"/>
        </w:rPr>
      </w:pPr>
    </w:p>
    <w:p>
      <w:pPr>
        <w:pStyle w:val="PlainText"/>
        <w:jc w:val="both"/>
        <w:rPr>
          <w:rFonts w:ascii="Arial" w:hAnsi="Arial" w:cs="Arial"/>
          <w:b/>
          <w:sz w:val="22"/>
          <w:szCs w:val="22"/>
        </w:rPr>
      </w:pPr>
      <w:r>
        <w:rPr>
          <w:rFonts w:ascii="Arial" w:hAnsi="Arial" w:cs="Arial"/>
          <w:sz w:val="22"/>
          <w:szCs w:val="22"/>
        </w:rPr>
        <w:t>The UTC recognises that young people who are abused or who witness violence may find it difficult to develop a sense of self-worth and to view the world in a positive way. The UTC may be the only stable, secure and predictable element in the lives of some of the young people under its care and therefore recognises that such young people might exhibit challenging and defiant behaviour and will take careful note of the context of such behaviour. The UTC also recognises that some young people who have experienced abuse may in turn abuse others. This requires a considered and sensitive approach in order that the young person can receive appropriate help and support.</w:t>
      </w:r>
    </w:p>
    <w:p>
      <w:pPr>
        <w:pStyle w:val="Default"/>
        <w:rPr>
          <w:rFonts w:ascii="Arial" w:hAnsi="Arial" w:cs="Arial"/>
          <w:sz w:val="22"/>
          <w:szCs w:val="22"/>
        </w:rPr>
      </w:pPr>
    </w:p>
    <w:p>
      <w:pPr>
        <w:pStyle w:val="Default"/>
        <w:rPr>
          <w:rFonts w:ascii="Arial" w:hAnsi="Arial" w:cs="Arial"/>
          <w:sz w:val="22"/>
          <w:szCs w:val="22"/>
        </w:rPr>
      </w:pPr>
      <w:r>
        <w:rPr>
          <w:rFonts w:ascii="Arial" w:hAnsi="Arial" w:cs="Arial"/>
          <w:sz w:val="22"/>
          <w:szCs w:val="22"/>
        </w:rPr>
        <w:t>The UTC will endeavour to support all its learners and equip them to stay safe from abuse through:</w:t>
      </w:r>
    </w:p>
    <w:p>
      <w:pPr>
        <w:pStyle w:val="Default"/>
        <w:rPr>
          <w:rFonts w:ascii="Arial" w:hAnsi="Arial" w:cs="Arial"/>
          <w:sz w:val="22"/>
          <w:szCs w:val="22"/>
        </w:rPr>
      </w:pPr>
    </w:p>
    <w:p>
      <w:pPr>
        <w:pStyle w:val="Default"/>
        <w:numPr>
          <w:ilvl w:val="0"/>
          <w:numId w:val="5"/>
        </w:numPr>
        <w:spacing w:after="44"/>
        <w:rPr>
          <w:rFonts w:ascii="Arial" w:hAnsi="Arial" w:cs="Arial"/>
          <w:sz w:val="22"/>
          <w:szCs w:val="22"/>
        </w:rPr>
      </w:pPr>
      <w:r>
        <w:rPr>
          <w:rFonts w:ascii="Arial" w:hAnsi="Arial" w:cs="Arial"/>
          <w:sz w:val="22"/>
          <w:szCs w:val="22"/>
        </w:rPr>
        <w:t>the curriculum and in particular the content of the PSHE and Citizenship curriculum which will encourage self-esteem and self-motivation</w:t>
      </w:r>
    </w:p>
    <w:p>
      <w:pPr>
        <w:pStyle w:val="Default"/>
        <w:numPr>
          <w:ilvl w:val="0"/>
          <w:numId w:val="5"/>
        </w:numPr>
        <w:spacing w:after="44"/>
        <w:rPr>
          <w:rFonts w:ascii="Arial" w:hAnsi="Arial" w:cs="Arial"/>
          <w:sz w:val="22"/>
          <w:szCs w:val="22"/>
        </w:rPr>
      </w:pPr>
      <w:r>
        <w:rPr>
          <w:rFonts w:ascii="Arial" w:hAnsi="Arial" w:cs="Arial"/>
          <w:sz w:val="22"/>
          <w:szCs w:val="22"/>
        </w:rPr>
        <w:t>the provision of enrichment activities to raise awareness of a range of issues for example personal safety and the safety of others</w:t>
      </w:r>
    </w:p>
    <w:p>
      <w:pPr>
        <w:pStyle w:val="Default"/>
        <w:numPr>
          <w:ilvl w:val="0"/>
          <w:numId w:val="5"/>
        </w:numPr>
        <w:spacing w:after="44"/>
        <w:rPr>
          <w:rFonts w:ascii="Arial" w:hAnsi="Arial" w:cs="Arial"/>
          <w:sz w:val="22"/>
          <w:szCs w:val="22"/>
        </w:rPr>
      </w:pPr>
      <w:r>
        <w:rPr>
          <w:rFonts w:ascii="Arial" w:hAnsi="Arial" w:cs="Arial"/>
          <w:sz w:val="22"/>
          <w:szCs w:val="22"/>
        </w:rPr>
        <w:t>promoting a positive, supportive and secure environment which gives learners a sense of being respected and valued</w:t>
      </w:r>
    </w:p>
    <w:p>
      <w:pPr>
        <w:pStyle w:val="Default"/>
        <w:numPr>
          <w:ilvl w:val="0"/>
          <w:numId w:val="5"/>
        </w:numPr>
        <w:spacing w:after="44"/>
        <w:rPr>
          <w:rFonts w:ascii="Arial" w:hAnsi="Arial" w:cs="Arial"/>
          <w:sz w:val="22"/>
          <w:szCs w:val="22"/>
        </w:rPr>
      </w:pPr>
      <w:r>
        <w:rPr>
          <w:rFonts w:ascii="Arial" w:hAnsi="Arial" w:cs="Arial"/>
          <w:sz w:val="22"/>
          <w:szCs w:val="22"/>
        </w:rPr>
        <w:t>a coherent management of behaviour</w:t>
      </w:r>
    </w:p>
    <w:p>
      <w:pPr>
        <w:pStyle w:val="Default"/>
        <w:numPr>
          <w:ilvl w:val="0"/>
          <w:numId w:val="5"/>
        </w:numPr>
        <w:spacing w:after="44"/>
        <w:rPr>
          <w:rFonts w:ascii="Arial" w:hAnsi="Arial" w:cs="Arial"/>
          <w:sz w:val="22"/>
          <w:szCs w:val="22"/>
        </w:rPr>
      </w:pPr>
      <w:r>
        <w:rPr>
          <w:rFonts w:ascii="Arial" w:hAnsi="Arial" w:cs="Arial"/>
          <w:sz w:val="22"/>
          <w:szCs w:val="22"/>
        </w:rPr>
        <w:t xml:space="preserve">a consistent approach which recognises and separates the cause of behaviour from that which the young person displays – this is vital to ensure that all learners are supported within the UTC setting </w:t>
      </w:r>
    </w:p>
    <w:p>
      <w:pPr>
        <w:pStyle w:val="Default"/>
        <w:numPr>
          <w:ilvl w:val="0"/>
          <w:numId w:val="5"/>
        </w:numPr>
        <w:spacing w:after="44"/>
        <w:rPr>
          <w:rFonts w:ascii="Arial" w:hAnsi="Arial" w:cs="Arial"/>
          <w:sz w:val="22"/>
          <w:szCs w:val="22"/>
        </w:rPr>
      </w:pPr>
      <w:r>
        <w:rPr>
          <w:rFonts w:ascii="Arial" w:hAnsi="Arial" w:cs="Arial"/>
          <w:sz w:val="22"/>
          <w:szCs w:val="22"/>
        </w:rPr>
        <w:t xml:space="preserve">liaison with other professionals and agencies who support young people and parents/carers </w:t>
      </w:r>
    </w:p>
    <w:p>
      <w:pPr>
        <w:pStyle w:val="Default"/>
        <w:numPr>
          <w:ilvl w:val="0"/>
          <w:numId w:val="5"/>
        </w:numPr>
        <w:spacing w:after="44"/>
        <w:rPr>
          <w:rFonts w:ascii="Arial" w:hAnsi="Arial" w:cs="Arial"/>
          <w:sz w:val="22"/>
          <w:szCs w:val="22"/>
        </w:rPr>
      </w:pPr>
      <w:r>
        <w:rPr>
          <w:rFonts w:ascii="Arial" w:hAnsi="Arial" w:cs="Arial"/>
          <w:sz w:val="22"/>
          <w:szCs w:val="22"/>
        </w:rPr>
        <w:lastRenderedPageBreak/>
        <w:t>a commitment to develop productive, supportive relationships with parents/carers whenever it is in the young person's interests to do so</w:t>
      </w:r>
    </w:p>
    <w:p>
      <w:pPr>
        <w:pStyle w:val="Default"/>
        <w:numPr>
          <w:ilvl w:val="0"/>
          <w:numId w:val="5"/>
        </w:numPr>
        <w:tabs>
          <w:tab w:val="left" w:pos="690"/>
        </w:tabs>
        <w:jc w:val="both"/>
        <w:rPr>
          <w:rFonts w:ascii="Arial" w:hAnsi="Arial" w:cs="Arial"/>
          <w:sz w:val="22"/>
          <w:szCs w:val="22"/>
        </w:rPr>
      </w:pPr>
      <w:r>
        <w:rPr>
          <w:rFonts w:ascii="Arial" w:hAnsi="Arial" w:cs="Arial"/>
          <w:sz w:val="22"/>
          <w:szCs w:val="22"/>
        </w:rPr>
        <w:t>the development and support of a responsive and knowledgeable staff group whose role it is to respond appropriately in young person protection situations</w:t>
      </w:r>
    </w:p>
    <w:p>
      <w:pPr>
        <w:pStyle w:val="Default"/>
        <w:tabs>
          <w:tab w:val="left" w:pos="690"/>
        </w:tabs>
        <w:ind w:left="426"/>
        <w:jc w:val="both"/>
        <w:rPr>
          <w:rFonts w:ascii="Arial" w:hAnsi="Arial" w:cs="Arial"/>
          <w:sz w:val="22"/>
          <w:szCs w:val="22"/>
        </w:rPr>
      </w:pPr>
    </w:p>
    <w:p>
      <w:pPr>
        <w:pStyle w:val="Default"/>
        <w:tabs>
          <w:tab w:val="left" w:pos="690"/>
        </w:tabs>
        <w:jc w:val="both"/>
        <w:rPr>
          <w:rFonts w:ascii="Arial" w:hAnsi="Arial" w:cs="Arial"/>
          <w:sz w:val="22"/>
          <w:szCs w:val="22"/>
        </w:rPr>
      </w:pPr>
      <w:r>
        <w:rPr>
          <w:rFonts w:ascii="Arial" w:hAnsi="Arial" w:cs="Arial"/>
          <w:sz w:val="22"/>
          <w:szCs w:val="22"/>
        </w:rPr>
        <w:t xml:space="preserve">The UTC recognises that, statistically, young people with behavioural difficulties and disabilities are most vulnerable to abuse. It also recognises that in a home environment where there is domestic violence, drug or alcohol abuse, young people may also be vulnerable and in need of support and protection. Employees who work, in any capacity, with young people with profound and multiple disabilities, sensory impairment and/or emotional and behavioural problems need to be particularly sensitive to signs of abuse. </w:t>
      </w:r>
    </w:p>
    <w:p>
      <w:pPr>
        <w:pStyle w:val="BodyText"/>
        <w:widowControl w:val="0"/>
        <w:tabs>
          <w:tab w:val="left" w:pos="824"/>
        </w:tabs>
        <w:spacing w:after="0" w:line="288" w:lineRule="auto"/>
        <w:ind w:right="104"/>
        <w:rPr>
          <w:sz w:val="22"/>
          <w:szCs w:val="22"/>
        </w:rPr>
      </w:pPr>
    </w:p>
    <w:p>
      <w:pPr>
        <w:pStyle w:val="BodyText"/>
        <w:widowControl w:val="0"/>
        <w:tabs>
          <w:tab w:val="left" w:pos="824"/>
        </w:tabs>
        <w:spacing w:after="0" w:line="288" w:lineRule="auto"/>
        <w:ind w:right="104"/>
        <w:rPr>
          <w:sz w:val="22"/>
          <w:szCs w:val="22"/>
        </w:rPr>
      </w:pPr>
      <w:r>
        <w:rPr>
          <w:sz w:val="22"/>
          <w:szCs w:val="22"/>
        </w:rPr>
        <w:t>Lincoln UTC recognises that any child may benefit from early help, but all school and college staff should be particularly alert to the potential need for early help for a child who:</w:t>
      </w:r>
    </w:p>
    <w:p>
      <w:pPr>
        <w:pStyle w:val="BodyText"/>
        <w:widowControl w:val="0"/>
        <w:tabs>
          <w:tab w:val="left" w:pos="824"/>
        </w:tabs>
        <w:spacing w:after="0" w:line="288" w:lineRule="auto"/>
        <w:ind w:right="104"/>
        <w:rPr>
          <w:sz w:val="22"/>
          <w:szCs w:val="22"/>
        </w:rPr>
      </w:pPr>
      <w:r>
        <w:rPr>
          <w:sz w:val="22"/>
          <w:szCs w:val="22"/>
        </w:rPr>
        <w:t xml:space="preserve">• is disabled and has specific additional needs; </w:t>
      </w:r>
    </w:p>
    <w:p>
      <w:pPr>
        <w:pStyle w:val="BodyText"/>
        <w:widowControl w:val="0"/>
        <w:tabs>
          <w:tab w:val="left" w:pos="824"/>
        </w:tabs>
        <w:spacing w:after="0" w:line="288" w:lineRule="auto"/>
        <w:ind w:right="104"/>
        <w:rPr>
          <w:sz w:val="22"/>
          <w:szCs w:val="22"/>
        </w:rPr>
      </w:pPr>
      <w:r>
        <w:rPr>
          <w:sz w:val="22"/>
          <w:szCs w:val="22"/>
        </w:rPr>
        <w:t xml:space="preserve">• has special educational needs (whether or not they have a statutory education, health and care plan); </w:t>
      </w:r>
    </w:p>
    <w:p>
      <w:pPr>
        <w:pStyle w:val="BodyText"/>
        <w:widowControl w:val="0"/>
        <w:tabs>
          <w:tab w:val="left" w:pos="824"/>
        </w:tabs>
        <w:spacing w:after="0" w:line="288" w:lineRule="auto"/>
        <w:ind w:right="104"/>
        <w:rPr>
          <w:sz w:val="22"/>
          <w:szCs w:val="22"/>
        </w:rPr>
      </w:pPr>
      <w:r>
        <w:rPr>
          <w:sz w:val="22"/>
          <w:szCs w:val="22"/>
        </w:rPr>
        <w:t xml:space="preserve">• is a young carer; </w:t>
      </w:r>
    </w:p>
    <w:p>
      <w:pPr>
        <w:pStyle w:val="BodyText"/>
        <w:widowControl w:val="0"/>
        <w:tabs>
          <w:tab w:val="left" w:pos="824"/>
        </w:tabs>
        <w:spacing w:after="0" w:line="288" w:lineRule="auto"/>
        <w:ind w:right="104"/>
        <w:rPr>
          <w:sz w:val="22"/>
          <w:szCs w:val="22"/>
        </w:rPr>
      </w:pPr>
      <w:r>
        <w:rPr>
          <w:sz w:val="22"/>
          <w:szCs w:val="22"/>
        </w:rPr>
        <w:t xml:space="preserve">• is frequently missing/goes missing from care or home; </w:t>
      </w:r>
    </w:p>
    <w:p>
      <w:pPr>
        <w:pStyle w:val="BodyText"/>
        <w:widowControl w:val="0"/>
        <w:tabs>
          <w:tab w:val="left" w:pos="824"/>
        </w:tabs>
        <w:spacing w:after="0" w:line="288" w:lineRule="auto"/>
        <w:ind w:right="104"/>
        <w:rPr>
          <w:sz w:val="22"/>
          <w:szCs w:val="22"/>
        </w:rPr>
      </w:pPr>
      <w:r>
        <w:rPr>
          <w:sz w:val="22"/>
          <w:szCs w:val="22"/>
        </w:rPr>
        <w:t xml:space="preserve">• is misusing drugs or alcohol; </w:t>
      </w:r>
    </w:p>
    <w:p>
      <w:pPr>
        <w:pStyle w:val="BodyText"/>
        <w:widowControl w:val="0"/>
        <w:tabs>
          <w:tab w:val="left" w:pos="824"/>
        </w:tabs>
        <w:spacing w:after="0" w:line="288" w:lineRule="auto"/>
        <w:ind w:right="104"/>
        <w:rPr>
          <w:sz w:val="22"/>
          <w:szCs w:val="22"/>
        </w:rPr>
      </w:pPr>
      <w:r>
        <w:rPr>
          <w:sz w:val="22"/>
          <w:szCs w:val="22"/>
        </w:rPr>
        <w:t xml:space="preserve">• is in a family circumstance presenting challenges for the child, such as substance abuse, adult mental health problems or domestic abuse; </w:t>
      </w:r>
    </w:p>
    <w:p>
      <w:pPr>
        <w:pStyle w:val="BodyText"/>
        <w:widowControl w:val="0"/>
        <w:tabs>
          <w:tab w:val="left" w:pos="824"/>
        </w:tabs>
        <w:spacing w:after="0" w:line="288" w:lineRule="auto"/>
        <w:ind w:right="104"/>
        <w:rPr>
          <w:spacing w:val="-1"/>
          <w:sz w:val="22"/>
          <w:szCs w:val="22"/>
        </w:rPr>
      </w:pPr>
      <w:r>
        <w:rPr>
          <w:sz w:val="22"/>
          <w:szCs w:val="22"/>
        </w:rPr>
        <w:t>• has returned home to their family from care</w:t>
      </w:r>
    </w:p>
    <w:p>
      <w:pPr>
        <w:pStyle w:val="Default"/>
        <w:tabs>
          <w:tab w:val="left" w:pos="690"/>
        </w:tabs>
        <w:ind w:left="709"/>
        <w:jc w:val="both"/>
        <w:rPr>
          <w:rFonts w:ascii="Arial" w:hAnsi="Arial" w:cs="Arial"/>
          <w:sz w:val="22"/>
          <w:szCs w:val="22"/>
        </w:rPr>
      </w:pPr>
    </w:p>
    <w:p>
      <w:pPr>
        <w:pStyle w:val="Default"/>
        <w:tabs>
          <w:tab w:val="left" w:pos="690"/>
        </w:tabs>
        <w:jc w:val="both"/>
        <w:rPr>
          <w:rFonts w:ascii="Arial" w:hAnsi="Arial" w:cs="Arial"/>
          <w:b/>
          <w:sz w:val="22"/>
          <w:szCs w:val="22"/>
        </w:rPr>
      </w:pPr>
      <w:r>
        <w:rPr>
          <w:rFonts w:ascii="Arial" w:hAnsi="Arial" w:cs="Arial"/>
          <w:b/>
          <w:sz w:val="22"/>
          <w:szCs w:val="22"/>
        </w:rPr>
        <w:t>Children Looked After</w:t>
      </w:r>
    </w:p>
    <w:p>
      <w:pPr>
        <w:pStyle w:val="Default"/>
        <w:tabs>
          <w:tab w:val="left" w:pos="690"/>
        </w:tabs>
        <w:jc w:val="both"/>
        <w:rPr>
          <w:rFonts w:ascii="Arial" w:hAnsi="Arial" w:cs="Arial"/>
          <w:sz w:val="22"/>
          <w:szCs w:val="22"/>
        </w:rPr>
      </w:pPr>
      <w:r>
        <w:rPr>
          <w:rFonts w:ascii="Arial" w:hAnsi="Arial" w:cs="Arial"/>
          <w:sz w:val="22"/>
          <w:szCs w:val="22"/>
        </w:rPr>
        <w:t>The governors will ensure that there is a designated teacher to promote the educational achievement of children who are looked after and to ensure that this person has appropriate training.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on concerns to safeguard these children, who are a particularly vulnerable group. The designated teacher should also work with the virtual school head to promote the educational achievement of previously looked after children.</w:t>
      </w:r>
    </w:p>
    <w:p>
      <w:pPr>
        <w:pStyle w:val="Default"/>
        <w:tabs>
          <w:tab w:val="left" w:pos="690"/>
        </w:tabs>
        <w:jc w:val="both"/>
        <w:rPr>
          <w:rFonts w:ascii="Arial" w:hAnsi="Arial" w:cs="Arial"/>
          <w:sz w:val="22"/>
          <w:szCs w:val="22"/>
        </w:rPr>
      </w:pPr>
    </w:p>
    <w:p>
      <w:pPr>
        <w:pStyle w:val="Default"/>
        <w:tabs>
          <w:tab w:val="left" w:pos="690"/>
        </w:tabs>
        <w:jc w:val="both"/>
        <w:rPr>
          <w:rFonts w:ascii="Arial" w:hAnsi="Arial" w:cs="Arial"/>
          <w:sz w:val="22"/>
          <w:szCs w:val="22"/>
        </w:rPr>
      </w:pPr>
      <w:r>
        <w:rPr>
          <w:rFonts w:ascii="Arial" w:hAnsi="Arial" w:cs="Arial"/>
          <w:sz w:val="22"/>
          <w:szCs w:val="22"/>
        </w:rPr>
        <w:t>They will also ensure that:</w:t>
      </w:r>
    </w:p>
    <w:p>
      <w:pPr>
        <w:pStyle w:val="Default"/>
        <w:numPr>
          <w:ilvl w:val="0"/>
          <w:numId w:val="6"/>
        </w:numPr>
        <w:tabs>
          <w:tab w:val="left" w:pos="690"/>
        </w:tabs>
        <w:jc w:val="both"/>
        <w:rPr>
          <w:rFonts w:ascii="Arial" w:hAnsi="Arial" w:cs="Arial"/>
          <w:sz w:val="22"/>
          <w:szCs w:val="22"/>
        </w:rPr>
      </w:pPr>
      <w:r>
        <w:rPr>
          <w:rFonts w:ascii="Arial" w:hAnsi="Arial" w:cs="Arial"/>
          <w:sz w:val="22"/>
          <w:szCs w:val="22"/>
        </w:rPr>
        <w:t>staff have the skills, knowledge and understanding necessary to keeping looked after children safe</w:t>
      </w:r>
    </w:p>
    <w:p>
      <w:pPr>
        <w:pStyle w:val="Default"/>
        <w:numPr>
          <w:ilvl w:val="0"/>
          <w:numId w:val="6"/>
        </w:numPr>
        <w:tabs>
          <w:tab w:val="left" w:pos="690"/>
        </w:tabs>
        <w:jc w:val="both"/>
        <w:rPr>
          <w:rFonts w:ascii="Arial" w:hAnsi="Arial" w:cs="Arial"/>
          <w:sz w:val="22"/>
          <w:szCs w:val="22"/>
        </w:rPr>
      </w:pPr>
      <w:r>
        <w:rPr>
          <w:rFonts w:ascii="Arial" w:hAnsi="Arial" w:cs="Arial"/>
          <w:sz w:val="22"/>
          <w:szCs w:val="22"/>
        </w:rPr>
        <w:t>appropriate staff have the information they need in relation to a child’s looked after legal status</w:t>
      </w:r>
    </w:p>
    <w:p>
      <w:pPr>
        <w:pStyle w:val="Default"/>
        <w:tabs>
          <w:tab w:val="left" w:pos="690"/>
        </w:tabs>
        <w:ind w:left="709"/>
        <w:jc w:val="both"/>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safeguarding lead, through the designated teacher for looked after children (if a different person), has details of the child’s social worker and the name of the virtual school head in the authority that looks after the child.  </w:t>
      </w:r>
    </w:p>
    <w:p>
      <w:pPr>
        <w:pStyle w:val="Default"/>
        <w:tabs>
          <w:tab w:val="left" w:pos="690"/>
        </w:tabs>
        <w:ind w:left="709"/>
        <w:jc w:val="both"/>
        <w:rPr>
          <w:rFonts w:ascii="Arial" w:hAnsi="Arial" w:cs="Arial"/>
          <w:sz w:val="22"/>
          <w:szCs w:val="22"/>
        </w:rPr>
      </w:pPr>
    </w:p>
    <w:p>
      <w:pPr>
        <w:pStyle w:val="Default"/>
        <w:tabs>
          <w:tab w:val="left" w:pos="690"/>
        </w:tabs>
        <w:ind w:left="709"/>
        <w:jc w:val="both"/>
        <w:rPr>
          <w:rFonts w:ascii="Arial" w:hAnsi="Arial" w:cs="Arial"/>
          <w:sz w:val="22"/>
          <w:szCs w:val="22"/>
        </w:rPr>
      </w:pPr>
      <w:r>
        <w:rPr>
          <w:rFonts w:ascii="Arial" w:hAnsi="Arial" w:cs="Arial"/>
          <w:sz w:val="22"/>
          <w:szCs w:val="22"/>
        </w:rPr>
        <w:t xml:space="preserve">Reference should also be made to the UTC ‘Education of Looked </w:t>
      </w:r>
      <w:proofErr w:type="gramStart"/>
      <w:r>
        <w:rPr>
          <w:rFonts w:ascii="Arial" w:hAnsi="Arial" w:cs="Arial"/>
          <w:sz w:val="22"/>
          <w:szCs w:val="22"/>
        </w:rPr>
        <w:t>After</w:t>
      </w:r>
      <w:proofErr w:type="gramEnd"/>
      <w:r>
        <w:rPr>
          <w:rFonts w:ascii="Arial" w:hAnsi="Arial" w:cs="Arial"/>
          <w:sz w:val="22"/>
          <w:szCs w:val="22"/>
        </w:rPr>
        <w:t xml:space="preserve"> Children Policy.</w:t>
      </w:r>
    </w:p>
    <w:p>
      <w:pPr>
        <w:pStyle w:val="Default"/>
        <w:tabs>
          <w:tab w:val="left" w:pos="690"/>
        </w:tabs>
        <w:ind w:left="709"/>
        <w:jc w:val="both"/>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b/>
          <w:caps/>
          <w:sz w:val="22"/>
          <w:szCs w:val="22"/>
        </w:rPr>
        <w:br w:type="page"/>
      </w:r>
    </w:p>
    <w:p>
      <w:pPr>
        <w:jc w:val="both"/>
        <w:rPr>
          <w:b/>
          <w:sz w:val="22"/>
          <w:szCs w:val="22"/>
        </w:rPr>
      </w:pPr>
      <w:r>
        <w:rPr>
          <w:b/>
          <w:caps/>
          <w:sz w:val="22"/>
          <w:szCs w:val="22"/>
        </w:rPr>
        <w:lastRenderedPageBreak/>
        <w:t>7. Designated Staff with Responsibility for SAFEGUARDING</w:t>
      </w:r>
    </w:p>
    <w:p>
      <w:pPr>
        <w:pStyle w:val="PlainText"/>
        <w:jc w:val="both"/>
        <w:rPr>
          <w:rFonts w:ascii="Arial" w:hAnsi="Arial" w:cs="Arial"/>
          <w:b/>
          <w:sz w:val="22"/>
          <w:szCs w:val="22"/>
        </w:rPr>
      </w:pPr>
    </w:p>
    <w:p>
      <w:pPr>
        <w:pStyle w:val="PlainText"/>
        <w:jc w:val="both"/>
        <w:rPr>
          <w:rFonts w:ascii="Arial" w:hAnsi="Arial" w:cs="Arial"/>
          <w:i/>
          <w:sz w:val="22"/>
          <w:szCs w:val="22"/>
        </w:rPr>
      </w:pPr>
      <w:r>
        <w:rPr>
          <w:rFonts w:ascii="Arial" w:hAnsi="Arial" w:cs="Arial"/>
          <w:i/>
          <w:sz w:val="22"/>
          <w:szCs w:val="22"/>
        </w:rPr>
        <w:t>Safeguarding is everyone’s responsibility.</w:t>
      </w:r>
    </w:p>
    <w:p>
      <w:pPr>
        <w:rPr>
          <w:sz w:val="22"/>
          <w:szCs w:val="22"/>
        </w:rPr>
      </w:pPr>
    </w:p>
    <w:p>
      <w:pPr>
        <w:rPr>
          <w:sz w:val="22"/>
          <w:szCs w:val="22"/>
        </w:rPr>
      </w:pPr>
      <w:r>
        <w:rPr>
          <w:sz w:val="22"/>
          <w:szCs w:val="22"/>
        </w:rPr>
        <w:t>As adults and/or professionals or volunteers at the UTC, everyone has a responsibility to safeguard young people and promote their welfare. Child protection is a part of safeguarding and promoting welfare. This refers to the activity which is undertaken to protect specific young people who are suffering or are at risk of suffering significant harm. Safeguarding and promoting the welfare of young people – and in particular protecting them from significant harm – depends upon effective joint working between agencies and professionals that have different roles and expertise.</w:t>
      </w:r>
    </w:p>
    <w:p>
      <w:pPr>
        <w:rPr>
          <w:sz w:val="22"/>
          <w:szCs w:val="22"/>
        </w:rPr>
      </w:pPr>
    </w:p>
    <w:p>
      <w:pPr>
        <w:rPr>
          <w:sz w:val="22"/>
          <w:szCs w:val="22"/>
        </w:rPr>
      </w:pPr>
      <w:r>
        <w:rPr>
          <w:sz w:val="22"/>
          <w:szCs w:val="22"/>
        </w:rPr>
        <w:t>Collaboration between both staff at UTC and UTC with external agencies will be expected, to ensure that young people who are suffering, or at risk of suffering significant harm, are safeguarded and their welfare promoted. This includes, where necessary, helping bring to justice the perpetrators of crimes against young people.</w:t>
      </w:r>
    </w:p>
    <w:p>
      <w:pPr>
        <w:ind w:left="709"/>
        <w:rPr>
          <w:sz w:val="22"/>
          <w:szCs w:val="22"/>
        </w:rPr>
      </w:pPr>
    </w:p>
    <w:p>
      <w:pPr>
        <w:rPr>
          <w:sz w:val="22"/>
          <w:szCs w:val="22"/>
        </w:rPr>
      </w:pPr>
      <w:r>
        <w:rPr>
          <w:sz w:val="22"/>
          <w:szCs w:val="22"/>
        </w:rPr>
        <w:t>All agencies and professionals should:-</w:t>
      </w:r>
    </w:p>
    <w:p>
      <w:pPr>
        <w:ind w:left="284"/>
        <w:rPr>
          <w:sz w:val="22"/>
          <w:szCs w:val="22"/>
        </w:rPr>
      </w:pPr>
    </w:p>
    <w:p>
      <w:pPr>
        <w:pStyle w:val="ListParagraph"/>
        <w:numPr>
          <w:ilvl w:val="0"/>
          <w:numId w:val="7"/>
        </w:numPr>
        <w:rPr>
          <w:sz w:val="22"/>
          <w:szCs w:val="22"/>
        </w:rPr>
      </w:pPr>
      <w:proofErr w:type="gramStart"/>
      <w:r>
        <w:rPr>
          <w:sz w:val="22"/>
          <w:szCs w:val="22"/>
        </w:rPr>
        <w:t>be</w:t>
      </w:r>
      <w:proofErr w:type="gramEnd"/>
      <w:r>
        <w:rPr>
          <w:sz w:val="22"/>
          <w:szCs w:val="22"/>
        </w:rPr>
        <w:t xml:space="preserve"> alert to potential indicators of abuse or neglect. </w:t>
      </w:r>
      <w:r>
        <w:rPr>
          <w:b/>
          <w:sz w:val="22"/>
          <w:szCs w:val="22"/>
        </w:rPr>
        <w:t>Safeguarding issues can happen anywhere and so staff should always be alert to possible concerns being raised in Lincoln UTC</w:t>
      </w:r>
    </w:p>
    <w:p>
      <w:pPr>
        <w:pStyle w:val="ListParagraph"/>
        <w:numPr>
          <w:ilvl w:val="0"/>
          <w:numId w:val="7"/>
        </w:numPr>
        <w:rPr>
          <w:sz w:val="22"/>
          <w:szCs w:val="22"/>
        </w:rPr>
      </w:pPr>
      <w:r>
        <w:rPr>
          <w:sz w:val="22"/>
          <w:szCs w:val="22"/>
        </w:rPr>
        <w:t>be alert to the risks which individual abusers, or potential abusers, may pose to young people</w:t>
      </w:r>
    </w:p>
    <w:p>
      <w:pPr>
        <w:pStyle w:val="ListParagraph"/>
        <w:numPr>
          <w:ilvl w:val="0"/>
          <w:numId w:val="7"/>
        </w:numPr>
        <w:rPr>
          <w:sz w:val="22"/>
          <w:szCs w:val="22"/>
        </w:rPr>
      </w:pPr>
      <w:r>
        <w:rPr>
          <w:sz w:val="22"/>
          <w:szCs w:val="22"/>
        </w:rPr>
        <w:t>record, share and help to analyse information so that an assessment can be made of the young person’s needs and circumstances</w:t>
      </w:r>
    </w:p>
    <w:p>
      <w:pPr>
        <w:pStyle w:val="ListParagraph"/>
        <w:numPr>
          <w:ilvl w:val="0"/>
          <w:numId w:val="7"/>
        </w:numPr>
        <w:rPr>
          <w:sz w:val="22"/>
          <w:szCs w:val="22"/>
        </w:rPr>
      </w:pPr>
      <w:r>
        <w:rPr>
          <w:sz w:val="22"/>
          <w:szCs w:val="22"/>
        </w:rPr>
        <w:t>contribute to whatever actions are needed to safeguard and promote the young person’s welfare</w:t>
      </w:r>
    </w:p>
    <w:p>
      <w:pPr>
        <w:pStyle w:val="ListParagraph"/>
        <w:numPr>
          <w:ilvl w:val="0"/>
          <w:numId w:val="7"/>
        </w:numPr>
        <w:rPr>
          <w:sz w:val="22"/>
          <w:szCs w:val="22"/>
        </w:rPr>
      </w:pPr>
      <w:r>
        <w:rPr>
          <w:sz w:val="22"/>
          <w:szCs w:val="22"/>
        </w:rPr>
        <w:t>take part in regularly reviewing the outcomes for the young person against specific plans; and work co-operatively with parents/carers unless this is inconsistent with ensuring the young person’s safety</w:t>
      </w:r>
    </w:p>
    <w:p>
      <w:pPr>
        <w:pStyle w:val="PlainText"/>
        <w:jc w:val="both"/>
        <w:rPr>
          <w:rFonts w:ascii="Arial" w:hAnsi="Arial" w:cs="Arial"/>
          <w:sz w:val="22"/>
          <w:szCs w:val="22"/>
        </w:rPr>
      </w:pPr>
    </w:p>
    <w:p>
      <w:pPr>
        <w:pStyle w:val="PlainText"/>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Pr>
          <w:rFonts w:ascii="Arial" w:hAnsi="Arial" w:cs="Arial"/>
          <w:b/>
          <w:sz w:val="22"/>
          <w:szCs w:val="22"/>
        </w:rPr>
        <w:t>The Designated Safeguarding Lead is the Special Educational Needs Coordinator. Her name is Claire Lowe.  The Deputy Designated Safeguarding Lead is the Assistant Special Education Needs Coordinator. Her name is Kayleigh Breward.</w:t>
      </w:r>
    </w:p>
    <w:p>
      <w:pPr>
        <w:pStyle w:val="PlainText"/>
        <w:ind w:left="1440"/>
        <w:jc w:val="both"/>
        <w:rPr>
          <w:rFonts w:ascii="Arial" w:hAnsi="Arial" w:cs="Arial"/>
          <w:sz w:val="22"/>
          <w:szCs w:val="22"/>
        </w:rPr>
      </w:pPr>
    </w:p>
    <w:p>
      <w:pPr>
        <w:jc w:val="both"/>
        <w:rPr>
          <w:b/>
          <w:sz w:val="22"/>
          <w:szCs w:val="22"/>
        </w:rPr>
      </w:pPr>
      <w:r>
        <w:rPr>
          <w:sz w:val="22"/>
          <w:szCs w:val="22"/>
        </w:rPr>
        <w:t>The designated safeguarding lead (and any deputies) is most likely to have a complete safeguarding picture</w:t>
      </w:r>
    </w:p>
    <w:p>
      <w:pPr>
        <w:jc w:val="both"/>
        <w:rPr>
          <w:b/>
          <w:sz w:val="22"/>
          <w:szCs w:val="22"/>
        </w:rPr>
      </w:pPr>
      <w:r>
        <w:rPr>
          <w:b/>
          <w:sz w:val="22"/>
          <w:szCs w:val="22"/>
        </w:rPr>
        <w:t>Designated Staff Members will:</w:t>
      </w:r>
    </w:p>
    <w:p>
      <w:pPr>
        <w:pStyle w:val="PlainText"/>
        <w:ind w:left="720"/>
        <w:jc w:val="both"/>
        <w:rPr>
          <w:rFonts w:ascii="Arial" w:hAnsi="Arial" w:cs="Arial"/>
          <w:sz w:val="22"/>
          <w:szCs w:val="22"/>
        </w:rPr>
      </w:pPr>
      <w:r>
        <w:rPr>
          <w:rFonts w:ascii="Arial" w:hAnsi="Arial" w:cs="Arial"/>
          <w:sz w:val="22"/>
          <w:szCs w:val="22"/>
        </w:rPr>
        <w:tab/>
      </w:r>
    </w:p>
    <w:p>
      <w:pPr>
        <w:pStyle w:val="ListParagraph"/>
        <w:numPr>
          <w:ilvl w:val="0"/>
          <w:numId w:val="8"/>
        </w:numPr>
        <w:jc w:val="both"/>
        <w:rPr>
          <w:sz w:val="22"/>
          <w:szCs w:val="22"/>
        </w:rPr>
      </w:pPr>
      <w:r>
        <w:rPr>
          <w:sz w:val="22"/>
          <w:szCs w:val="22"/>
        </w:rPr>
        <w:t>know how to make an appropriate referral to the relevant and appropriate agencies</w:t>
      </w:r>
    </w:p>
    <w:p>
      <w:pPr>
        <w:pStyle w:val="ListParagraph"/>
        <w:numPr>
          <w:ilvl w:val="0"/>
          <w:numId w:val="8"/>
        </w:numPr>
        <w:jc w:val="both"/>
        <w:rPr>
          <w:sz w:val="22"/>
          <w:szCs w:val="22"/>
        </w:rPr>
      </w:pPr>
      <w:proofErr w:type="gramStart"/>
      <w:r>
        <w:rPr>
          <w:sz w:val="22"/>
          <w:szCs w:val="22"/>
        </w:rPr>
        <w:t>be</w:t>
      </w:r>
      <w:proofErr w:type="gramEnd"/>
      <w:r>
        <w:rPr>
          <w:sz w:val="22"/>
          <w:szCs w:val="22"/>
        </w:rPr>
        <w:t xml:space="preserve"> available to provide advice and support to other staff on issues relating to safeguarding and young person protection.</w:t>
      </w:r>
    </w:p>
    <w:p>
      <w:pPr>
        <w:pStyle w:val="ListParagraph"/>
        <w:numPr>
          <w:ilvl w:val="0"/>
          <w:numId w:val="8"/>
        </w:numPr>
        <w:jc w:val="both"/>
        <w:rPr>
          <w:sz w:val="22"/>
          <w:szCs w:val="22"/>
        </w:rPr>
      </w:pPr>
      <w:proofErr w:type="gramStart"/>
      <w:r>
        <w:rPr>
          <w:sz w:val="22"/>
          <w:szCs w:val="22"/>
        </w:rPr>
        <w:t>have</w:t>
      </w:r>
      <w:proofErr w:type="gramEnd"/>
      <w:r>
        <w:rPr>
          <w:sz w:val="22"/>
          <w:szCs w:val="22"/>
        </w:rPr>
        <w:t xml:space="preserve"> particular responsibility to be available to listen to young people, and vulnerable adults studying at the UTC. </w:t>
      </w:r>
    </w:p>
    <w:p>
      <w:pPr>
        <w:pStyle w:val="ListParagraph"/>
        <w:numPr>
          <w:ilvl w:val="0"/>
          <w:numId w:val="8"/>
        </w:numPr>
        <w:jc w:val="both"/>
        <w:rPr>
          <w:sz w:val="22"/>
          <w:szCs w:val="22"/>
        </w:rPr>
      </w:pPr>
      <w:proofErr w:type="gramStart"/>
      <w:r>
        <w:rPr>
          <w:sz w:val="22"/>
          <w:szCs w:val="22"/>
        </w:rPr>
        <w:t>fill</w:t>
      </w:r>
      <w:proofErr w:type="gramEnd"/>
      <w:r>
        <w:rPr>
          <w:sz w:val="22"/>
          <w:szCs w:val="22"/>
        </w:rPr>
        <w:t xml:space="preserve"> in Safeguarding paperwork – ensuring that all completed paperwork is referred to Customer Services at Lincolnshire LSCB.</w:t>
      </w:r>
    </w:p>
    <w:p>
      <w:pPr>
        <w:pStyle w:val="ListParagraph"/>
        <w:numPr>
          <w:ilvl w:val="0"/>
          <w:numId w:val="8"/>
        </w:numPr>
        <w:jc w:val="both"/>
        <w:rPr>
          <w:sz w:val="22"/>
          <w:szCs w:val="22"/>
        </w:rPr>
      </w:pPr>
      <w:r>
        <w:rPr>
          <w:sz w:val="22"/>
          <w:szCs w:val="22"/>
        </w:rPr>
        <w:t>follow advice and guidance available from Lincolnshire Safeguarding Children Board</w:t>
      </w:r>
    </w:p>
    <w:p>
      <w:pPr>
        <w:pStyle w:val="ListParagraph"/>
        <w:jc w:val="both"/>
        <w:rPr>
          <w:sz w:val="22"/>
          <w:szCs w:val="22"/>
        </w:rPr>
      </w:pPr>
      <w:r>
        <w:rPr>
          <w:sz w:val="22"/>
          <w:szCs w:val="22"/>
        </w:rPr>
        <w:t xml:space="preserve"> </w:t>
      </w:r>
      <w:hyperlink r:id="rId42" w:history="1">
        <w:r>
          <w:rPr>
            <w:rStyle w:val="Hyperlink"/>
            <w:sz w:val="22"/>
            <w:szCs w:val="22"/>
          </w:rPr>
          <w:t>http://www.lincolnshire.gov.uk/lscb</w:t>
        </w:r>
      </w:hyperlink>
      <w:r>
        <w:rPr>
          <w:sz w:val="22"/>
          <w:szCs w:val="22"/>
        </w:rPr>
        <w:t>.</w:t>
      </w:r>
    </w:p>
    <w:p>
      <w:pPr>
        <w:pStyle w:val="ListParagraph"/>
        <w:jc w:val="both"/>
        <w:rPr>
          <w:sz w:val="22"/>
          <w:szCs w:val="22"/>
        </w:rPr>
      </w:pPr>
    </w:p>
    <w:p>
      <w:pPr>
        <w:pStyle w:val="ListParagraph"/>
        <w:ind w:left="0"/>
        <w:rPr>
          <w:b/>
          <w:sz w:val="22"/>
          <w:szCs w:val="22"/>
        </w:rPr>
      </w:pPr>
      <w:r>
        <w:rPr>
          <w:b/>
          <w:sz w:val="22"/>
          <w:szCs w:val="22"/>
        </w:rPr>
        <w:t>All Staff Members will:</w:t>
      </w:r>
    </w:p>
    <w:p>
      <w:pPr>
        <w:pStyle w:val="ListParagraph"/>
        <w:ind w:left="0"/>
        <w:rPr>
          <w:b/>
          <w:sz w:val="22"/>
          <w:szCs w:val="22"/>
        </w:rPr>
      </w:pPr>
    </w:p>
    <w:p>
      <w:pPr>
        <w:pStyle w:val="ListParagraph"/>
        <w:numPr>
          <w:ilvl w:val="0"/>
          <w:numId w:val="8"/>
        </w:numPr>
        <w:jc w:val="both"/>
        <w:rPr>
          <w:sz w:val="22"/>
          <w:szCs w:val="22"/>
        </w:rPr>
      </w:pPr>
      <w:proofErr w:type="gramStart"/>
      <w:r>
        <w:rPr>
          <w:sz w:val="22"/>
          <w:szCs w:val="22"/>
        </w:rPr>
        <w:t>always</w:t>
      </w:r>
      <w:proofErr w:type="gramEnd"/>
      <w:r>
        <w:rPr>
          <w:sz w:val="22"/>
          <w:szCs w:val="22"/>
        </w:rPr>
        <w:t xml:space="preserve"> speak to the designated safeguarding lead (or deputy).</w:t>
      </w:r>
    </w:p>
    <w:p>
      <w:pPr>
        <w:pStyle w:val="ListParagraph"/>
        <w:numPr>
          <w:ilvl w:val="0"/>
          <w:numId w:val="8"/>
        </w:numPr>
        <w:jc w:val="both"/>
        <w:rPr>
          <w:sz w:val="22"/>
          <w:szCs w:val="22"/>
        </w:rPr>
      </w:pPr>
      <w:proofErr w:type="gramStart"/>
      <w:r>
        <w:rPr>
          <w:sz w:val="22"/>
          <w:szCs w:val="22"/>
        </w:rPr>
        <w:t>report</w:t>
      </w:r>
      <w:proofErr w:type="gramEnd"/>
      <w:r>
        <w:rPr>
          <w:sz w:val="22"/>
          <w:szCs w:val="22"/>
        </w:rPr>
        <w:t xml:space="preserve"> to the designated safeguarding lead, or in their absence, the deputy designated safeguarding lead, any concerns that they may have about a young person as soon as possible via the UTC reporting protocols detailed in SOP 2.</w:t>
      </w:r>
    </w:p>
    <w:p>
      <w:pPr>
        <w:pStyle w:val="ListParagraph"/>
        <w:numPr>
          <w:ilvl w:val="0"/>
          <w:numId w:val="8"/>
        </w:numPr>
        <w:jc w:val="both"/>
        <w:rPr>
          <w:sz w:val="22"/>
          <w:szCs w:val="22"/>
        </w:rPr>
      </w:pPr>
      <w:r>
        <w:rPr>
          <w:sz w:val="22"/>
          <w:szCs w:val="22"/>
        </w:rPr>
        <w:t xml:space="preserve">be aware of the process for making referrals to children’s social care and for statutory assessments under the Children Act 1989, especially section 17 (children in need) and </w:t>
      </w:r>
      <w:r>
        <w:rPr>
          <w:sz w:val="22"/>
          <w:szCs w:val="22"/>
        </w:rPr>
        <w:lastRenderedPageBreak/>
        <w:t>section 47 (a child suffering, or likely to suffer, significant harm) that may follow a referral, along with the role they might be expected to play in such assessments.</w:t>
      </w:r>
    </w:p>
    <w:p>
      <w:pPr>
        <w:rPr>
          <w:sz w:val="22"/>
          <w:szCs w:val="22"/>
        </w:rPr>
      </w:pPr>
    </w:p>
    <w:p>
      <w:pPr>
        <w:rPr>
          <w:sz w:val="22"/>
          <w:szCs w:val="22"/>
        </w:rPr>
      </w:pPr>
    </w:p>
    <w:p>
      <w:pPr>
        <w:rPr>
          <w:sz w:val="22"/>
          <w:szCs w:val="22"/>
        </w:rPr>
      </w:pPr>
      <w:r>
        <w:rPr>
          <w:b/>
          <w:sz w:val="22"/>
          <w:szCs w:val="22"/>
        </w:rPr>
        <w:t>Governing Body</w:t>
      </w:r>
    </w:p>
    <w:p>
      <w:pPr>
        <w:pStyle w:val="PlainText"/>
        <w:ind w:left="720"/>
        <w:jc w:val="both"/>
        <w:rPr>
          <w:rFonts w:ascii="Arial" w:hAnsi="Arial" w:cs="Arial"/>
          <w:sz w:val="22"/>
          <w:szCs w:val="22"/>
        </w:rPr>
      </w:pPr>
      <w:r>
        <w:rPr>
          <w:rFonts w:ascii="Arial" w:hAnsi="Arial" w:cs="Arial"/>
          <w:sz w:val="22"/>
          <w:szCs w:val="22"/>
        </w:rPr>
        <w:tab/>
      </w:r>
    </w:p>
    <w:p>
      <w:pPr>
        <w:jc w:val="both"/>
        <w:rPr>
          <w:sz w:val="22"/>
          <w:szCs w:val="22"/>
        </w:rPr>
      </w:pPr>
      <w:r>
        <w:rPr>
          <w:sz w:val="22"/>
          <w:szCs w:val="22"/>
        </w:rPr>
        <w:t>The Governing Body will ensure that:</w:t>
      </w:r>
    </w:p>
    <w:p>
      <w:pPr>
        <w:ind w:left="1440" w:hanging="720"/>
        <w:jc w:val="both"/>
        <w:rPr>
          <w:sz w:val="22"/>
          <w:szCs w:val="22"/>
        </w:rPr>
      </w:pPr>
    </w:p>
    <w:p>
      <w:pPr>
        <w:pStyle w:val="ListParagraph"/>
        <w:numPr>
          <w:ilvl w:val="0"/>
          <w:numId w:val="9"/>
        </w:numPr>
        <w:jc w:val="both"/>
        <w:rPr>
          <w:sz w:val="22"/>
          <w:szCs w:val="22"/>
        </w:rPr>
      </w:pPr>
      <w:r>
        <w:rPr>
          <w:sz w:val="22"/>
          <w:szCs w:val="22"/>
        </w:rPr>
        <w:t>the UTC has a  Safeguarding and Child Protection Policy and associated procedures in place, and that the policy is made available to parents/carers on the website and on individual request</w:t>
      </w:r>
    </w:p>
    <w:p>
      <w:pPr>
        <w:pStyle w:val="ListParagraph"/>
        <w:numPr>
          <w:ilvl w:val="0"/>
          <w:numId w:val="9"/>
        </w:numPr>
        <w:jc w:val="both"/>
        <w:rPr>
          <w:sz w:val="22"/>
          <w:szCs w:val="22"/>
        </w:rPr>
      </w:pPr>
      <w:r>
        <w:rPr>
          <w:sz w:val="22"/>
          <w:szCs w:val="22"/>
        </w:rPr>
        <w:t xml:space="preserve">both the Safeguarding and Child Protection Policy and other relevant policies are made available to all staff, including temporary staff and volunteers, on their induction </w:t>
      </w:r>
    </w:p>
    <w:p>
      <w:pPr>
        <w:pStyle w:val="ListParagraph"/>
        <w:numPr>
          <w:ilvl w:val="0"/>
          <w:numId w:val="9"/>
        </w:numPr>
        <w:jc w:val="both"/>
        <w:rPr>
          <w:sz w:val="22"/>
          <w:szCs w:val="22"/>
        </w:rPr>
      </w:pPr>
      <w:proofErr w:type="gramStart"/>
      <w:r>
        <w:rPr>
          <w:sz w:val="22"/>
          <w:szCs w:val="22"/>
        </w:rPr>
        <w:t>the</w:t>
      </w:r>
      <w:proofErr w:type="gramEnd"/>
      <w:r>
        <w:rPr>
          <w:sz w:val="22"/>
          <w:szCs w:val="22"/>
        </w:rPr>
        <w:t xml:space="preserve"> UTC operates safe recruitment practices (UTC Safer Recruitment Policy) including appropriate use of references and checks on new staff, volunteers and governors (DBS standard, or enhanced with barred list information). This includes checking whether staff employed by the UTC live with anyone who is disqualified from working with children or young people (‘disqualification by association’ Regulations 2009)</w:t>
      </w:r>
    </w:p>
    <w:p>
      <w:pPr>
        <w:pStyle w:val="ListParagraph"/>
        <w:numPr>
          <w:ilvl w:val="1"/>
          <w:numId w:val="9"/>
        </w:numPr>
        <w:jc w:val="both"/>
        <w:rPr>
          <w:sz w:val="22"/>
          <w:szCs w:val="22"/>
        </w:rPr>
      </w:pPr>
      <w:r>
        <w:rPr>
          <w:sz w:val="22"/>
          <w:szCs w:val="22"/>
        </w:rPr>
        <w:t>Staff are disqualified from working in a UTC where they ‘live or work in the same household’ as someone who is barred from working with children or young people, even if they would not otherwise be disqualified. Staff who are unable to sign a declaration verifying that they do not live  with anyone who is disqualified from working with children or young people must inform the Principal immediately and provide the relevant details</w:t>
      </w:r>
    </w:p>
    <w:p>
      <w:pPr>
        <w:pStyle w:val="ListParagraph"/>
        <w:numPr>
          <w:ilvl w:val="0"/>
          <w:numId w:val="9"/>
        </w:numPr>
        <w:jc w:val="both"/>
        <w:rPr>
          <w:sz w:val="22"/>
          <w:szCs w:val="22"/>
        </w:rPr>
      </w:pPr>
      <w:r>
        <w:rPr>
          <w:sz w:val="22"/>
          <w:szCs w:val="22"/>
        </w:rPr>
        <w:t>there are procedures for dealing with allegations of abuse made against members of staff, volunteers and students (UTC Disciplinary Policy)</w:t>
      </w:r>
    </w:p>
    <w:p>
      <w:pPr>
        <w:pStyle w:val="ListParagraph"/>
        <w:numPr>
          <w:ilvl w:val="0"/>
          <w:numId w:val="9"/>
        </w:numPr>
        <w:jc w:val="both"/>
        <w:rPr>
          <w:sz w:val="22"/>
          <w:szCs w:val="22"/>
        </w:rPr>
      </w:pPr>
      <w:r>
        <w:rPr>
          <w:sz w:val="22"/>
          <w:szCs w:val="22"/>
        </w:rPr>
        <w:t xml:space="preserve">a member of the UTC’s Senior Leadership Team is designated to take lead responsibility for dealing with safeguarding and child protection – this is currently the Designated Safeguarding Lead and </w:t>
      </w:r>
      <w:proofErr w:type="spellStart"/>
      <w:r>
        <w:rPr>
          <w:sz w:val="22"/>
          <w:szCs w:val="22"/>
        </w:rPr>
        <w:t>SENDCo</w:t>
      </w:r>
      <w:proofErr w:type="spellEnd"/>
    </w:p>
    <w:p>
      <w:pPr>
        <w:pStyle w:val="ListParagraph"/>
        <w:numPr>
          <w:ilvl w:val="0"/>
          <w:numId w:val="9"/>
        </w:numPr>
        <w:jc w:val="both"/>
        <w:rPr>
          <w:sz w:val="22"/>
          <w:szCs w:val="22"/>
        </w:rPr>
      </w:pPr>
      <w:r>
        <w:rPr>
          <w:sz w:val="22"/>
          <w:szCs w:val="22"/>
        </w:rPr>
        <w:t xml:space="preserve">in addition to basic child protection training, in inter-agency working that is provided by, or to standards agreed by, the Local Safeguarding Children Board (LSCB) the DSL  has training as recommended by the </w:t>
      </w:r>
      <w:hyperlink r:id="rId43" w:history="1">
        <w:r>
          <w:rPr>
            <w:rStyle w:val="Hyperlink"/>
            <w:sz w:val="22"/>
            <w:szCs w:val="22"/>
          </w:rPr>
          <w:t>LCSB 5 year safeguarding children training pathway</w:t>
        </w:r>
      </w:hyperlink>
    </w:p>
    <w:p>
      <w:pPr>
        <w:pStyle w:val="ListParagraph"/>
        <w:numPr>
          <w:ilvl w:val="0"/>
          <w:numId w:val="9"/>
        </w:numPr>
        <w:jc w:val="both"/>
        <w:rPr>
          <w:sz w:val="22"/>
          <w:szCs w:val="22"/>
        </w:rPr>
      </w:pPr>
      <w:r>
        <w:rPr>
          <w:sz w:val="22"/>
          <w:szCs w:val="22"/>
        </w:rPr>
        <w:t>the Principal, and all other staff who work with learners, undertake appropriate training which is kept up-to-date by refresher training; and temporary staff and volunteers who work with learners are made aware of the UTC’s arrangements for child protection and their responsibilities</w:t>
      </w:r>
    </w:p>
    <w:p>
      <w:pPr>
        <w:pStyle w:val="ListParagraph"/>
        <w:numPr>
          <w:ilvl w:val="0"/>
          <w:numId w:val="9"/>
        </w:numPr>
        <w:jc w:val="both"/>
        <w:rPr>
          <w:sz w:val="22"/>
          <w:szCs w:val="22"/>
        </w:rPr>
      </w:pPr>
      <w:r>
        <w:rPr>
          <w:sz w:val="22"/>
          <w:szCs w:val="22"/>
        </w:rPr>
        <w:t>any deficiencies or weaknesses brought to the attention of the Governing Body are rectified</w:t>
      </w:r>
    </w:p>
    <w:p>
      <w:pPr>
        <w:pStyle w:val="ListParagraph"/>
        <w:numPr>
          <w:ilvl w:val="0"/>
          <w:numId w:val="9"/>
        </w:numPr>
        <w:jc w:val="both"/>
        <w:rPr>
          <w:sz w:val="22"/>
          <w:szCs w:val="22"/>
        </w:rPr>
      </w:pPr>
      <w:r>
        <w:rPr>
          <w:sz w:val="22"/>
          <w:szCs w:val="22"/>
        </w:rPr>
        <w:t xml:space="preserve">the Chair of the Governing Body (or, in the absence of the Chair, the Vice Chair) manages the process of investigating any allegations of abuse made against the Principal </w:t>
      </w:r>
    </w:p>
    <w:p>
      <w:pPr>
        <w:pStyle w:val="ListParagraph"/>
        <w:numPr>
          <w:ilvl w:val="0"/>
          <w:numId w:val="9"/>
        </w:numPr>
        <w:jc w:val="both"/>
        <w:rPr>
          <w:sz w:val="22"/>
          <w:szCs w:val="22"/>
        </w:rPr>
      </w:pPr>
      <w:r>
        <w:rPr>
          <w:sz w:val="22"/>
          <w:szCs w:val="22"/>
        </w:rPr>
        <w:t>policies and procedures are reviewed annually</w:t>
      </w:r>
    </w:p>
    <w:p>
      <w:pPr>
        <w:pStyle w:val="ListParagraph"/>
        <w:numPr>
          <w:ilvl w:val="0"/>
          <w:numId w:val="9"/>
        </w:numPr>
        <w:jc w:val="both"/>
        <w:rPr>
          <w:sz w:val="22"/>
          <w:szCs w:val="22"/>
        </w:rPr>
      </w:pPr>
      <w:r>
        <w:rPr>
          <w:sz w:val="22"/>
          <w:szCs w:val="22"/>
        </w:rPr>
        <w:t>there is an individual member of the Governing Body who will champion issues to do with safeguarding and child protection within the UTC, liaise with the Designated Safeguarding Lead, and provide information and reports to the Governing Body</w:t>
      </w:r>
    </w:p>
    <w:p>
      <w:pPr>
        <w:jc w:val="both"/>
        <w:rPr>
          <w:sz w:val="22"/>
          <w:szCs w:val="22"/>
        </w:rPr>
      </w:pPr>
    </w:p>
    <w:p>
      <w:pPr>
        <w:jc w:val="both"/>
        <w:rPr>
          <w:b/>
          <w:sz w:val="22"/>
          <w:szCs w:val="22"/>
        </w:rPr>
      </w:pPr>
      <w:r>
        <w:rPr>
          <w:b/>
          <w:sz w:val="22"/>
          <w:szCs w:val="22"/>
        </w:rPr>
        <w:t>The Principal</w:t>
      </w:r>
    </w:p>
    <w:p>
      <w:pPr>
        <w:pStyle w:val="Default"/>
        <w:rPr>
          <w:rFonts w:ascii="Arial" w:hAnsi="Arial" w:cs="Arial"/>
          <w:sz w:val="22"/>
          <w:szCs w:val="22"/>
        </w:rPr>
      </w:pPr>
    </w:p>
    <w:p>
      <w:pPr>
        <w:rPr>
          <w:sz w:val="22"/>
          <w:szCs w:val="22"/>
        </w:rPr>
      </w:pPr>
      <w:r>
        <w:rPr>
          <w:sz w:val="22"/>
          <w:szCs w:val="22"/>
        </w:rPr>
        <w:t>The Principal will ensure that:</w:t>
      </w:r>
    </w:p>
    <w:p>
      <w:pPr>
        <w:ind w:left="709"/>
        <w:rPr>
          <w:color w:val="000000"/>
          <w:sz w:val="22"/>
          <w:szCs w:val="22"/>
        </w:rPr>
      </w:pPr>
    </w:p>
    <w:p>
      <w:pPr>
        <w:pStyle w:val="Default"/>
        <w:numPr>
          <w:ilvl w:val="0"/>
          <w:numId w:val="10"/>
        </w:numPr>
        <w:spacing w:after="45"/>
        <w:rPr>
          <w:rFonts w:ascii="Arial" w:hAnsi="Arial" w:cs="Arial"/>
          <w:sz w:val="22"/>
          <w:szCs w:val="22"/>
        </w:rPr>
      </w:pPr>
      <w:r>
        <w:rPr>
          <w:rFonts w:ascii="Arial" w:hAnsi="Arial" w:cs="Arial"/>
          <w:sz w:val="22"/>
          <w:szCs w:val="22"/>
        </w:rPr>
        <w:t>the policies and procedures adopted by the Governing Body are fully implemented, and followed by all staff</w:t>
      </w:r>
    </w:p>
    <w:p>
      <w:pPr>
        <w:pStyle w:val="Default"/>
        <w:numPr>
          <w:ilvl w:val="0"/>
          <w:numId w:val="10"/>
        </w:numPr>
        <w:spacing w:after="45"/>
        <w:rPr>
          <w:rFonts w:ascii="Arial" w:hAnsi="Arial" w:cs="Arial"/>
          <w:sz w:val="22"/>
          <w:szCs w:val="22"/>
        </w:rPr>
      </w:pPr>
      <w:r>
        <w:rPr>
          <w:rFonts w:ascii="Arial" w:hAnsi="Arial" w:cs="Arial"/>
          <w:sz w:val="22"/>
          <w:szCs w:val="22"/>
        </w:rPr>
        <w:t xml:space="preserve">sufficient resources and time are allocated to enable the Safeguarding Lead to discharge their responsibilities, including taking part in strategy discussions and other inter-agency meetings, and contributing to the assessment of learners </w:t>
      </w:r>
    </w:p>
    <w:p>
      <w:pPr>
        <w:pStyle w:val="Default"/>
        <w:numPr>
          <w:ilvl w:val="0"/>
          <w:numId w:val="10"/>
        </w:numPr>
        <w:spacing w:after="45"/>
        <w:rPr>
          <w:rFonts w:ascii="Arial" w:hAnsi="Arial" w:cs="Arial"/>
          <w:sz w:val="22"/>
          <w:szCs w:val="22"/>
        </w:rPr>
      </w:pPr>
      <w:proofErr w:type="gramStart"/>
      <w:r>
        <w:rPr>
          <w:rFonts w:ascii="Arial" w:hAnsi="Arial" w:cs="Arial"/>
          <w:sz w:val="22"/>
          <w:szCs w:val="22"/>
        </w:rPr>
        <w:lastRenderedPageBreak/>
        <w:t>the</w:t>
      </w:r>
      <w:proofErr w:type="gramEnd"/>
      <w:r>
        <w:rPr>
          <w:rFonts w:ascii="Arial" w:hAnsi="Arial" w:cs="Arial"/>
          <w:sz w:val="22"/>
          <w:szCs w:val="22"/>
        </w:rPr>
        <w:t xml:space="preserve"> designated safeguarding lead undergoes updated child protection training in accordance with the LCSB recommended pathway.</w:t>
      </w:r>
    </w:p>
    <w:p>
      <w:pPr>
        <w:pStyle w:val="Default"/>
        <w:numPr>
          <w:ilvl w:val="0"/>
          <w:numId w:val="10"/>
        </w:numPr>
        <w:spacing w:after="45"/>
        <w:rPr>
          <w:rFonts w:ascii="Arial" w:hAnsi="Arial" w:cs="Arial"/>
          <w:sz w:val="22"/>
          <w:szCs w:val="22"/>
        </w:rPr>
      </w:pPr>
      <w:proofErr w:type="gramStart"/>
      <w:r>
        <w:rPr>
          <w:rFonts w:ascii="Arial" w:hAnsi="Arial" w:cs="Arial"/>
          <w:sz w:val="22"/>
          <w:szCs w:val="22"/>
        </w:rPr>
        <w:t>all</w:t>
      </w:r>
      <w:proofErr w:type="gramEnd"/>
      <w:r>
        <w:rPr>
          <w:rFonts w:ascii="Arial" w:hAnsi="Arial" w:cs="Arial"/>
          <w:sz w:val="22"/>
          <w:szCs w:val="22"/>
        </w:rPr>
        <w:t xml:space="preserve"> staff members undergo safeguarding and child protection training, which is updated regularly, taking account of advice from LSCB.</w:t>
      </w:r>
    </w:p>
    <w:p>
      <w:pPr>
        <w:pStyle w:val="Default"/>
        <w:numPr>
          <w:ilvl w:val="0"/>
          <w:numId w:val="10"/>
        </w:numPr>
        <w:spacing w:after="45"/>
        <w:rPr>
          <w:rFonts w:ascii="Arial" w:hAnsi="Arial" w:cs="Arial"/>
          <w:sz w:val="22"/>
          <w:szCs w:val="22"/>
        </w:rPr>
      </w:pPr>
      <w:r>
        <w:rPr>
          <w:rFonts w:ascii="Arial" w:hAnsi="Arial" w:cs="Arial"/>
          <w:sz w:val="22"/>
          <w:szCs w:val="22"/>
        </w:rPr>
        <w:t>any member of staff who has been disciplined, dismissed or left service from the UTC prior to the completion of an investigation for causing emotional, psychological, physical or sexual harm, or neglect regarding a learner, will be reported to the Disclosure and Barring Service.</w:t>
      </w:r>
    </w:p>
    <w:p>
      <w:pPr>
        <w:jc w:val="both"/>
        <w:rPr>
          <w:sz w:val="22"/>
          <w:szCs w:val="22"/>
        </w:rPr>
      </w:pPr>
    </w:p>
    <w:p>
      <w:pPr>
        <w:jc w:val="both"/>
        <w:rPr>
          <w:b/>
          <w:sz w:val="22"/>
          <w:szCs w:val="22"/>
        </w:rPr>
      </w:pPr>
      <w:r>
        <w:rPr>
          <w:b/>
          <w:sz w:val="22"/>
          <w:szCs w:val="22"/>
        </w:rPr>
        <w:t xml:space="preserve">The Designated Safeguarding Lead </w:t>
      </w:r>
    </w:p>
    <w:p>
      <w:pPr>
        <w:jc w:val="both"/>
        <w:rPr>
          <w:sz w:val="22"/>
          <w:szCs w:val="22"/>
        </w:rPr>
      </w:pPr>
    </w:p>
    <w:p>
      <w:pPr>
        <w:jc w:val="both"/>
        <w:rPr>
          <w:sz w:val="22"/>
          <w:szCs w:val="22"/>
        </w:rPr>
      </w:pPr>
      <w:r>
        <w:rPr>
          <w:sz w:val="22"/>
          <w:szCs w:val="22"/>
        </w:rPr>
        <w:t>The Designated Safeguarding Lead will:</w:t>
      </w:r>
    </w:p>
    <w:p>
      <w:pPr>
        <w:pStyle w:val="Default"/>
        <w:spacing w:after="42"/>
        <w:rPr>
          <w:rFonts w:ascii="Arial" w:hAnsi="Arial" w:cs="Arial"/>
          <w:sz w:val="22"/>
          <w:szCs w:val="22"/>
        </w:rPr>
      </w:pPr>
    </w:p>
    <w:p>
      <w:pPr>
        <w:pStyle w:val="Default"/>
        <w:numPr>
          <w:ilvl w:val="0"/>
          <w:numId w:val="11"/>
        </w:numPr>
        <w:spacing w:after="42"/>
        <w:rPr>
          <w:rFonts w:ascii="Arial" w:hAnsi="Arial" w:cs="Arial"/>
          <w:sz w:val="22"/>
          <w:szCs w:val="22"/>
        </w:rPr>
      </w:pPr>
      <w:r>
        <w:rPr>
          <w:rFonts w:ascii="Arial" w:hAnsi="Arial" w:cs="Arial"/>
          <w:sz w:val="22"/>
          <w:szCs w:val="22"/>
        </w:rPr>
        <w:t>coordinate all matters relating to safeguarding and child protection issues (SOP 2 and 3)</w:t>
      </w:r>
    </w:p>
    <w:p>
      <w:pPr>
        <w:pStyle w:val="Default"/>
        <w:numPr>
          <w:ilvl w:val="0"/>
          <w:numId w:val="11"/>
        </w:numPr>
        <w:spacing w:after="42"/>
        <w:rPr>
          <w:rFonts w:ascii="Arial" w:hAnsi="Arial" w:cs="Arial"/>
          <w:sz w:val="22"/>
          <w:szCs w:val="22"/>
        </w:rPr>
      </w:pPr>
      <w:r>
        <w:rPr>
          <w:rFonts w:ascii="Arial" w:hAnsi="Arial" w:cs="Arial"/>
          <w:sz w:val="22"/>
          <w:szCs w:val="22"/>
        </w:rPr>
        <w:t>be informed in the process of investigating reports of abuse against young people (SOP 1, 2 &amp; 3)</w:t>
      </w:r>
    </w:p>
    <w:p>
      <w:pPr>
        <w:pStyle w:val="Default"/>
        <w:numPr>
          <w:ilvl w:val="0"/>
          <w:numId w:val="11"/>
        </w:numPr>
        <w:spacing w:after="42"/>
        <w:rPr>
          <w:rFonts w:ascii="Arial" w:hAnsi="Arial" w:cs="Arial"/>
          <w:sz w:val="22"/>
          <w:szCs w:val="22"/>
        </w:rPr>
      </w:pPr>
      <w:r>
        <w:rPr>
          <w:rFonts w:ascii="Arial" w:hAnsi="Arial" w:cs="Arial"/>
          <w:sz w:val="22"/>
          <w:szCs w:val="22"/>
        </w:rPr>
        <w:t>be informed in the process of investigating complaints against employees of the UTC by learners (UTC Disciplinary Policy)</w:t>
      </w:r>
    </w:p>
    <w:p>
      <w:pPr>
        <w:pStyle w:val="Default"/>
        <w:numPr>
          <w:ilvl w:val="0"/>
          <w:numId w:val="11"/>
        </w:numPr>
        <w:spacing w:after="42"/>
        <w:rPr>
          <w:rFonts w:ascii="Arial" w:hAnsi="Arial" w:cs="Arial"/>
          <w:sz w:val="22"/>
          <w:szCs w:val="22"/>
        </w:rPr>
      </w:pPr>
      <w:r>
        <w:rPr>
          <w:rFonts w:ascii="Arial" w:hAnsi="Arial" w:cs="Arial"/>
          <w:sz w:val="22"/>
          <w:szCs w:val="22"/>
        </w:rPr>
        <w:t>make referrals to safeguarding and child protection agencies if appropriate (SOP 2)</w:t>
      </w:r>
    </w:p>
    <w:p>
      <w:pPr>
        <w:pStyle w:val="Default"/>
        <w:numPr>
          <w:ilvl w:val="0"/>
          <w:numId w:val="11"/>
        </w:numPr>
        <w:spacing w:after="42"/>
        <w:rPr>
          <w:rFonts w:ascii="Arial" w:hAnsi="Arial" w:cs="Arial"/>
          <w:sz w:val="22"/>
          <w:szCs w:val="22"/>
        </w:rPr>
      </w:pPr>
      <w:r>
        <w:rPr>
          <w:rFonts w:ascii="Arial" w:hAnsi="Arial" w:cs="Arial"/>
          <w:sz w:val="22"/>
          <w:szCs w:val="22"/>
        </w:rPr>
        <w:t>attend case conferences as required</w:t>
      </w:r>
    </w:p>
    <w:p>
      <w:pPr>
        <w:pStyle w:val="Default"/>
        <w:numPr>
          <w:ilvl w:val="0"/>
          <w:numId w:val="11"/>
        </w:numPr>
        <w:spacing w:after="42"/>
        <w:rPr>
          <w:rFonts w:ascii="Arial" w:hAnsi="Arial" w:cs="Arial"/>
          <w:sz w:val="22"/>
          <w:szCs w:val="22"/>
        </w:rPr>
      </w:pPr>
      <w:r>
        <w:rPr>
          <w:rFonts w:ascii="Arial" w:hAnsi="Arial" w:cs="Arial"/>
          <w:sz w:val="22"/>
          <w:szCs w:val="22"/>
        </w:rPr>
        <w:t>keep the Principal fully informed of all child protection issues that may arise</w:t>
      </w:r>
    </w:p>
    <w:p>
      <w:pPr>
        <w:pStyle w:val="Default"/>
        <w:numPr>
          <w:ilvl w:val="0"/>
          <w:numId w:val="11"/>
        </w:numPr>
        <w:spacing w:after="42"/>
        <w:rPr>
          <w:rFonts w:ascii="Arial" w:hAnsi="Arial" w:cs="Arial"/>
          <w:sz w:val="22"/>
          <w:szCs w:val="22"/>
        </w:rPr>
      </w:pPr>
      <w:r>
        <w:rPr>
          <w:rFonts w:ascii="Arial" w:hAnsi="Arial" w:cs="Arial"/>
          <w:sz w:val="22"/>
          <w:szCs w:val="22"/>
        </w:rPr>
        <w:t>ensure all staff receive appropriate training in child protection</w:t>
      </w:r>
    </w:p>
    <w:p>
      <w:pPr>
        <w:pStyle w:val="Default"/>
        <w:numPr>
          <w:ilvl w:val="0"/>
          <w:numId w:val="11"/>
        </w:numPr>
        <w:spacing w:after="42"/>
        <w:rPr>
          <w:rFonts w:ascii="Arial" w:hAnsi="Arial" w:cs="Arial"/>
          <w:sz w:val="22"/>
          <w:szCs w:val="22"/>
        </w:rPr>
      </w:pPr>
      <w:r>
        <w:rPr>
          <w:rFonts w:ascii="Arial" w:hAnsi="Arial" w:cs="Arial"/>
          <w:sz w:val="22"/>
          <w:szCs w:val="22"/>
        </w:rPr>
        <w:t xml:space="preserve">ensure that all new staff are properly inducted regarding safeguarding and child protection </w:t>
      </w:r>
    </w:p>
    <w:p>
      <w:pPr>
        <w:pStyle w:val="Default"/>
        <w:numPr>
          <w:ilvl w:val="0"/>
          <w:numId w:val="11"/>
        </w:numPr>
        <w:spacing w:after="42"/>
        <w:rPr>
          <w:rFonts w:ascii="Arial" w:hAnsi="Arial" w:cs="Arial"/>
          <w:sz w:val="22"/>
          <w:szCs w:val="22"/>
        </w:rPr>
      </w:pPr>
      <w:r>
        <w:rPr>
          <w:rFonts w:ascii="Arial" w:hAnsi="Arial" w:cs="Arial"/>
          <w:sz w:val="22"/>
          <w:szCs w:val="22"/>
        </w:rPr>
        <w:t>liaise with the UTC Governance representative with special responsibility for safeguarding and child protection on matters relating to the same</w:t>
      </w:r>
    </w:p>
    <w:p>
      <w:pPr>
        <w:pStyle w:val="Default"/>
        <w:numPr>
          <w:ilvl w:val="0"/>
          <w:numId w:val="11"/>
        </w:numPr>
        <w:rPr>
          <w:rFonts w:ascii="Arial" w:hAnsi="Arial" w:cs="Arial"/>
          <w:sz w:val="22"/>
          <w:szCs w:val="22"/>
        </w:rPr>
      </w:pPr>
      <w:r>
        <w:rPr>
          <w:rFonts w:ascii="Arial" w:hAnsi="Arial" w:cs="Arial"/>
          <w:sz w:val="22"/>
          <w:szCs w:val="22"/>
        </w:rPr>
        <w:t>ensure the UTC Governance representative with special responsibility for safeguarding and child protection receives appropriate training in the same</w:t>
      </w:r>
    </w:p>
    <w:p>
      <w:pPr>
        <w:pStyle w:val="ListParagraph"/>
        <w:ind w:left="1418" w:hanging="425"/>
        <w:jc w:val="both"/>
        <w:rPr>
          <w:sz w:val="22"/>
          <w:szCs w:val="22"/>
        </w:rPr>
      </w:pPr>
    </w:p>
    <w:p>
      <w:pPr>
        <w:jc w:val="both"/>
        <w:rPr>
          <w:b/>
          <w:sz w:val="22"/>
          <w:szCs w:val="22"/>
        </w:rPr>
      </w:pPr>
      <w:r>
        <w:rPr>
          <w:b/>
          <w:sz w:val="22"/>
          <w:szCs w:val="22"/>
        </w:rPr>
        <w:t>All members of staff at the UTC will:</w:t>
      </w:r>
    </w:p>
    <w:p>
      <w:pPr>
        <w:pStyle w:val="Default"/>
        <w:rPr>
          <w:rFonts w:ascii="Arial" w:hAnsi="Arial" w:cs="Arial"/>
          <w:sz w:val="22"/>
          <w:szCs w:val="22"/>
        </w:rPr>
      </w:pPr>
    </w:p>
    <w:p>
      <w:pPr>
        <w:pStyle w:val="Default"/>
        <w:numPr>
          <w:ilvl w:val="0"/>
          <w:numId w:val="12"/>
        </w:numPr>
        <w:spacing w:after="42"/>
        <w:rPr>
          <w:rFonts w:ascii="Arial" w:hAnsi="Arial" w:cs="Arial"/>
          <w:sz w:val="22"/>
          <w:szCs w:val="22"/>
        </w:rPr>
      </w:pPr>
      <w:r>
        <w:rPr>
          <w:rFonts w:ascii="Arial" w:hAnsi="Arial" w:cs="Arial"/>
          <w:sz w:val="22"/>
          <w:szCs w:val="22"/>
        </w:rPr>
        <w:t xml:space="preserve">make sure they are fully conversant with the Safeguarding and Child Protection Policy </w:t>
      </w:r>
    </w:p>
    <w:p>
      <w:pPr>
        <w:pStyle w:val="Default"/>
        <w:numPr>
          <w:ilvl w:val="0"/>
          <w:numId w:val="12"/>
        </w:numPr>
        <w:spacing w:after="42"/>
        <w:rPr>
          <w:rFonts w:ascii="Arial" w:hAnsi="Arial" w:cs="Arial"/>
          <w:sz w:val="22"/>
          <w:szCs w:val="22"/>
        </w:rPr>
      </w:pPr>
      <w:r>
        <w:rPr>
          <w:rFonts w:ascii="Arial" w:hAnsi="Arial" w:cs="Arial"/>
          <w:sz w:val="22"/>
          <w:szCs w:val="22"/>
        </w:rPr>
        <w:t>respond to any issues or concerns as laid out in this policy and via the relevant Standard Operating Procedures</w:t>
      </w:r>
    </w:p>
    <w:p>
      <w:pPr>
        <w:pStyle w:val="Default"/>
        <w:numPr>
          <w:ilvl w:val="0"/>
          <w:numId w:val="12"/>
        </w:numPr>
        <w:spacing w:after="42"/>
        <w:rPr>
          <w:rFonts w:ascii="Arial" w:hAnsi="Arial" w:cs="Arial"/>
          <w:sz w:val="22"/>
          <w:szCs w:val="22"/>
        </w:rPr>
      </w:pPr>
      <w:r>
        <w:rPr>
          <w:rFonts w:ascii="Arial" w:hAnsi="Arial" w:cs="Arial"/>
          <w:sz w:val="22"/>
          <w:szCs w:val="22"/>
        </w:rPr>
        <w:t xml:space="preserve">refer any issue as soon as is practicably possible verbally, this will be followed up either in writing or via electronic form </w:t>
      </w:r>
    </w:p>
    <w:p>
      <w:pPr>
        <w:pStyle w:val="Default"/>
        <w:numPr>
          <w:ilvl w:val="0"/>
          <w:numId w:val="12"/>
        </w:numPr>
        <w:spacing w:after="42"/>
        <w:rPr>
          <w:rFonts w:ascii="Arial" w:hAnsi="Arial" w:cs="Arial"/>
          <w:sz w:val="22"/>
          <w:szCs w:val="22"/>
        </w:rPr>
      </w:pPr>
      <w:r>
        <w:rPr>
          <w:rFonts w:ascii="Arial" w:hAnsi="Arial" w:cs="Arial"/>
          <w:sz w:val="22"/>
          <w:szCs w:val="22"/>
        </w:rPr>
        <w:t xml:space="preserve">wear identification at all times  - </w:t>
      </w:r>
      <w:r>
        <w:rPr>
          <w:rFonts w:ascii="Arial" w:hAnsi="Arial" w:cs="Arial"/>
          <w:color w:val="4472C4" w:themeColor="accent5"/>
          <w:sz w:val="22"/>
          <w:szCs w:val="22"/>
        </w:rPr>
        <w:t xml:space="preserve">BLUE </w:t>
      </w:r>
      <w:r>
        <w:rPr>
          <w:rFonts w:ascii="Arial" w:hAnsi="Arial" w:cs="Arial"/>
          <w:sz w:val="22"/>
          <w:szCs w:val="22"/>
        </w:rPr>
        <w:t>lanyard</w:t>
      </w:r>
    </w:p>
    <w:p>
      <w:pPr>
        <w:pStyle w:val="Default"/>
        <w:numPr>
          <w:ilvl w:val="0"/>
          <w:numId w:val="12"/>
        </w:numPr>
        <w:spacing w:after="42"/>
        <w:rPr>
          <w:rFonts w:ascii="Arial" w:hAnsi="Arial" w:cs="Arial"/>
          <w:sz w:val="22"/>
          <w:szCs w:val="22"/>
        </w:rPr>
      </w:pPr>
      <w:r>
        <w:rPr>
          <w:rFonts w:ascii="Arial" w:hAnsi="Arial" w:cs="Arial"/>
          <w:sz w:val="22"/>
          <w:szCs w:val="22"/>
        </w:rPr>
        <w:t xml:space="preserve">Ensure that staff or contractors that have been subject to stringent safeguarding and DBS check receive a </w:t>
      </w:r>
      <w:r>
        <w:rPr>
          <w:rFonts w:ascii="Arial" w:hAnsi="Arial" w:cs="Arial"/>
          <w:color w:val="92D050"/>
          <w:sz w:val="22"/>
          <w:szCs w:val="22"/>
        </w:rPr>
        <w:t>GREEN</w:t>
      </w:r>
      <w:r>
        <w:rPr>
          <w:rFonts w:ascii="Arial" w:hAnsi="Arial" w:cs="Arial"/>
          <w:sz w:val="22"/>
          <w:szCs w:val="22"/>
        </w:rPr>
        <w:t xml:space="preserve"> Lanyard.  Evidence must be made available for checks. </w:t>
      </w:r>
    </w:p>
    <w:p>
      <w:pPr>
        <w:pStyle w:val="Default"/>
        <w:numPr>
          <w:ilvl w:val="0"/>
          <w:numId w:val="12"/>
        </w:numPr>
        <w:rPr>
          <w:rFonts w:ascii="Arial" w:hAnsi="Arial" w:cs="Arial"/>
          <w:sz w:val="22"/>
          <w:szCs w:val="22"/>
        </w:rPr>
      </w:pPr>
      <w:proofErr w:type="gramStart"/>
      <w:r>
        <w:rPr>
          <w:rFonts w:ascii="Arial" w:hAnsi="Arial" w:cs="Arial"/>
          <w:sz w:val="22"/>
          <w:szCs w:val="22"/>
        </w:rPr>
        <w:t>challenge</w:t>
      </w:r>
      <w:proofErr w:type="gramEnd"/>
      <w:r>
        <w:rPr>
          <w:rFonts w:ascii="Arial" w:hAnsi="Arial" w:cs="Arial"/>
          <w:sz w:val="22"/>
          <w:szCs w:val="22"/>
        </w:rPr>
        <w:t xml:space="preserve"> anyone on site who is not wearing appropriate identification.  Visitors who have not been subject to the usual stringent safeguarding and DBS checks will be issued with a </w:t>
      </w:r>
      <w:r>
        <w:rPr>
          <w:rFonts w:ascii="Arial" w:hAnsi="Arial" w:cs="Arial"/>
          <w:color w:val="FF0000"/>
          <w:sz w:val="22"/>
          <w:szCs w:val="22"/>
        </w:rPr>
        <w:t xml:space="preserve">RED </w:t>
      </w:r>
      <w:r>
        <w:rPr>
          <w:rFonts w:ascii="Arial" w:hAnsi="Arial" w:cs="Arial"/>
          <w:sz w:val="22"/>
          <w:szCs w:val="22"/>
        </w:rPr>
        <w:t>lanyard and will be accompanied at all times.  All use of the College computers will be monitored by the E-safety Officer.</w:t>
      </w:r>
    </w:p>
    <w:p>
      <w:pPr>
        <w:pStyle w:val="Default"/>
        <w:numPr>
          <w:ilvl w:val="0"/>
          <w:numId w:val="12"/>
        </w:numPr>
        <w:rPr>
          <w:rFonts w:ascii="Arial" w:hAnsi="Arial" w:cs="Arial"/>
          <w:sz w:val="22"/>
          <w:szCs w:val="22"/>
        </w:rPr>
      </w:pPr>
      <w:r>
        <w:rPr>
          <w:rFonts w:ascii="Arial" w:hAnsi="Arial" w:cs="Arial"/>
          <w:sz w:val="22"/>
          <w:szCs w:val="22"/>
        </w:rPr>
        <w:t>Ensure that their visitors to the UTC have read and familiarised themselves with our safeguarding leaflet when they sign in and before proceeding into the main building.</w:t>
      </w:r>
    </w:p>
    <w:p>
      <w:pPr>
        <w:rPr>
          <w:b/>
          <w:sz w:val="22"/>
          <w:szCs w:val="22"/>
        </w:rPr>
      </w:pPr>
    </w:p>
    <w:p>
      <w:pPr>
        <w:pStyle w:val="Default"/>
        <w:rPr>
          <w:rFonts w:ascii="Arial" w:hAnsi="Arial" w:cs="Arial"/>
          <w:sz w:val="22"/>
          <w:szCs w:val="22"/>
        </w:rPr>
      </w:pPr>
    </w:p>
    <w:p>
      <w:pPr>
        <w:pStyle w:val="Default"/>
        <w:rPr>
          <w:rFonts w:ascii="Arial" w:hAnsi="Arial" w:cs="Arial"/>
          <w:sz w:val="22"/>
          <w:szCs w:val="22"/>
        </w:rPr>
      </w:pPr>
    </w:p>
    <w:p>
      <w:pPr>
        <w:jc w:val="both"/>
        <w:rPr>
          <w:b/>
          <w:caps/>
          <w:sz w:val="22"/>
          <w:szCs w:val="22"/>
        </w:rPr>
      </w:pPr>
    </w:p>
    <w:p>
      <w:pPr>
        <w:jc w:val="both"/>
        <w:rPr>
          <w:b/>
          <w:caps/>
          <w:sz w:val="22"/>
          <w:szCs w:val="22"/>
        </w:rPr>
      </w:pPr>
    </w:p>
    <w:p>
      <w:pPr>
        <w:jc w:val="both"/>
        <w:rPr>
          <w:b/>
          <w:caps/>
          <w:sz w:val="22"/>
          <w:szCs w:val="22"/>
        </w:rPr>
      </w:pPr>
    </w:p>
    <w:p>
      <w:pPr>
        <w:jc w:val="both"/>
        <w:rPr>
          <w:b/>
          <w:sz w:val="22"/>
          <w:szCs w:val="22"/>
        </w:rPr>
      </w:pPr>
      <w:r>
        <w:rPr>
          <w:b/>
          <w:caps/>
          <w:sz w:val="22"/>
          <w:szCs w:val="22"/>
        </w:rPr>
        <w:lastRenderedPageBreak/>
        <w:t>8. referrals</w:t>
      </w:r>
    </w:p>
    <w:p>
      <w:pPr>
        <w:pStyle w:val="PlainText"/>
        <w:ind w:left="720"/>
        <w:jc w:val="both"/>
        <w:rPr>
          <w:rFonts w:ascii="Arial" w:hAnsi="Arial" w:cs="Arial"/>
          <w:b/>
          <w:sz w:val="22"/>
          <w:szCs w:val="22"/>
        </w:rPr>
      </w:pPr>
    </w:p>
    <w:p>
      <w:pPr>
        <w:pStyle w:val="PlainText"/>
        <w:jc w:val="both"/>
        <w:rPr>
          <w:rFonts w:ascii="Arial" w:hAnsi="Arial" w:cs="Arial"/>
          <w:sz w:val="22"/>
          <w:szCs w:val="22"/>
        </w:rPr>
      </w:pPr>
      <w:r>
        <w:rPr>
          <w:rFonts w:ascii="Arial" w:hAnsi="Arial" w:cs="Arial"/>
          <w:sz w:val="22"/>
          <w:szCs w:val="22"/>
        </w:rPr>
        <w:t>There are different issues that we will consider once a referral has been made, including:</w:t>
      </w:r>
    </w:p>
    <w:p>
      <w:pPr>
        <w:pStyle w:val="PlainText"/>
        <w:ind w:left="1440"/>
        <w:jc w:val="both"/>
        <w:rPr>
          <w:rFonts w:ascii="Arial" w:hAnsi="Arial" w:cs="Arial"/>
          <w:sz w:val="22"/>
          <w:szCs w:val="22"/>
        </w:rPr>
      </w:pPr>
    </w:p>
    <w:p>
      <w:pPr>
        <w:jc w:val="both"/>
        <w:rPr>
          <w:sz w:val="22"/>
          <w:szCs w:val="22"/>
        </w:rPr>
      </w:pPr>
      <w:r>
        <w:rPr>
          <w:sz w:val="22"/>
          <w:szCs w:val="22"/>
        </w:rPr>
        <w:t xml:space="preserve">1. Is this a young person with additional needs where their health, development or achievement may be adversely affected? This is the case if age appropriate progress is not being made and the causes are unclear or the support of more than one agency is needed to meet the young person or young person’s needs. </w:t>
      </w:r>
    </w:p>
    <w:p>
      <w:pPr>
        <w:pStyle w:val="ListParagraph"/>
        <w:ind w:left="1440"/>
        <w:jc w:val="both"/>
        <w:rPr>
          <w:sz w:val="22"/>
          <w:szCs w:val="22"/>
        </w:rPr>
      </w:pPr>
    </w:p>
    <w:p>
      <w:pPr>
        <w:jc w:val="both"/>
        <w:rPr>
          <w:sz w:val="22"/>
          <w:szCs w:val="22"/>
        </w:rPr>
      </w:pPr>
      <w:r>
        <w:rPr>
          <w:sz w:val="22"/>
          <w:szCs w:val="22"/>
        </w:rPr>
        <w:t xml:space="preserve">2. </w:t>
      </w:r>
      <w:proofErr w:type="gramStart"/>
      <w:r>
        <w:rPr>
          <w:sz w:val="22"/>
          <w:szCs w:val="22"/>
        </w:rPr>
        <w:t>Is</w:t>
      </w:r>
      <w:proofErr w:type="gramEnd"/>
      <w:r>
        <w:rPr>
          <w:sz w:val="22"/>
          <w:szCs w:val="22"/>
        </w:rPr>
        <w:t xml:space="preserve"> this young person in need? S17 of the Children Act 1989 says this is the case if the young person is unlikely to achieve or maintain, or to have opportunity to achieve or maintain a reasonable standard of health or development, without the provision of services by a local authority; if their health or development is likely to be impaired, or further impaired without the provision of such services or if they are disabled.</w:t>
      </w:r>
    </w:p>
    <w:p>
      <w:pPr>
        <w:jc w:val="both"/>
        <w:rPr>
          <w:sz w:val="22"/>
          <w:szCs w:val="22"/>
        </w:rPr>
      </w:pPr>
    </w:p>
    <w:p>
      <w:pPr>
        <w:jc w:val="both"/>
        <w:rPr>
          <w:sz w:val="22"/>
          <w:szCs w:val="22"/>
        </w:rPr>
      </w:pPr>
      <w:r>
        <w:rPr>
          <w:sz w:val="22"/>
          <w:szCs w:val="22"/>
        </w:rPr>
        <w:t>3. Is this a child protection matter? S47 of the Children Act 1989 says this is the case if a young person is at risk or are suffering significant harm; if a young person is suffering the effects of significant harm or if a young person is suffering from serious health problems.</w:t>
      </w:r>
    </w:p>
    <w:p>
      <w:pPr>
        <w:pStyle w:val="ListParagraph"/>
        <w:rPr>
          <w:sz w:val="22"/>
          <w:szCs w:val="22"/>
        </w:rPr>
      </w:pPr>
    </w:p>
    <w:p>
      <w:pPr>
        <w:jc w:val="both"/>
        <w:rPr>
          <w:b/>
          <w:sz w:val="22"/>
          <w:szCs w:val="22"/>
        </w:rPr>
      </w:pPr>
      <w:r>
        <w:rPr>
          <w:b/>
          <w:sz w:val="22"/>
          <w:szCs w:val="22"/>
        </w:rPr>
        <w:t>Missing children</w:t>
      </w:r>
    </w:p>
    <w:p>
      <w:pPr>
        <w:pStyle w:val="BodyText3"/>
        <w:spacing w:after="0"/>
        <w:jc w:val="both"/>
        <w:rPr>
          <w:i/>
          <w:sz w:val="22"/>
          <w:szCs w:val="22"/>
        </w:rPr>
      </w:pPr>
      <w:r>
        <w:rPr>
          <w:i/>
          <w:sz w:val="22"/>
          <w:szCs w:val="22"/>
        </w:rPr>
        <w:t>Definition of Children Missing from Education</w:t>
      </w:r>
    </w:p>
    <w:p>
      <w:pPr>
        <w:pStyle w:val="BodyText3"/>
        <w:tabs>
          <w:tab w:val="left" w:pos="709"/>
        </w:tabs>
        <w:rPr>
          <w:sz w:val="22"/>
          <w:szCs w:val="22"/>
        </w:rPr>
      </w:pPr>
    </w:p>
    <w:p>
      <w:pPr>
        <w:pStyle w:val="BodyText3"/>
        <w:tabs>
          <w:tab w:val="left" w:pos="0"/>
        </w:tabs>
        <w:rPr>
          <w:sz w:val="22"/>
          <w:szCs w:val="22"/>
        </w:rPr>
      </w:pPr>
      <w:r>
        <w:rPr>
          <w:sz w:val="22"/>
          <w:szCs w:val="22"/>
        </w:rPr>
        <w:t>‘Any child of compulsory school age (5-16) who is not on a school roll, nor being educated otherwise (e.g. at home, privately, or in alternative provision) and who has been out of any education provision for a substantial period of time (practice nationally is four weeks)’</w:t>
      </w:r>
    </w:p>
    <w:p>
      <w:pPr>
        <w:pStyle w:val="BodyText3"/>
        <w:tabs>
          <w:tab w:val="left" w:pos="709"/>
        </w:tabs>
        <w:rPr>
          <w:sz w:val="22"/>
          <w:szCs w:val="22"/>
        </w:rPr>
      </w:pPr>
      <w:r>
        <w:rPr>
          <w:sz w:val="22"/>
          <w:szCs w:val="22"/>
        </w:rPr>
        <w:t xml:space="preserve">The process of looking for children who are absent from school and their whereabouts is unknown starts as soon as the school has sufficient evidence to confirm this. </w:t>
      </w:r>
    </w:p>
    <w:p>
      <w:pPr>
        <w:jc w:val="both"/>
        <w:rPr>
          <w:i/>
          <w:sz w:val="22"/>
          <w:szCs w:val="22"/>
        </w:rPr>
      </w:pPr>
    </w:p>
    <w:p>
      <w:pPr>
        <w:jc w:val="both"/>
        <w:rPr>
          <w:i/>
          <w:sz w:val="22"/>
          <w:szCs w:val="22"/>
        </w:rPr>
      </w:pPr>
      <w:r>
        <w:rPr>
          <w:i/>
          <w:sz w:val="22"/>
          <w:szCs w:val="22"/>
        </w:rPr>
        <w:t>Definition of Children at Risk of Missing Education</w:t>
      </w:r>
    </w:p>
    <w:p>
      <w:pPr>
        <w:tabs>
          <w:tab w:val="left" w:pos="709"/>
        </w:tabs>
        <w:ind w:left="709" w:hanging="709"/>
        <w:jc w:val="both"/>
        <w:rPr>
          <w:sz w:val="22"/>
          <w:szCs w:val="22"/>
        </w:rPr>
      </w:pPr>
    </w:p>
    <w:p>
      <w:pPr>
        <w:jc w:val="both"/>
        <w:rPr>
          <w:sz w:val="22"/>
          <w:szCs w:val="22"/>
        </w:rPr>
      </w:pPr>
      <w:r>
        <w:rPr>
          <w:sz w:val="22"/>
          <w:szCs w:val="22"/>
        </w:rPr>
        <w:t xml:space="preserve">‘Children and young people with poor school attendance are often the most vulnerable and are more likely to become children missing from education’. </w:t>
      </w:r>
    </w:p>
    <w:p>
      <w:pPr>
        <w:tabs>
          <w:tab w:val="left" w:pos="709"/>
        </w:tabs>
        <w:ind w:left="709" w:hanging="709"/>
        <w:jc w:val="both"/>
        <w:rPr>
          <w:sz w:val="22"/>
          <w:szCs w:val="22"/>
        </w:rPr>
      </w:pPr>
    </w:p>
    <w:p>
      <w:pPr>
        <w:jc w:val="both"/>
        <w:rPr>
          <w:sz w:val="22"/>
          <w:szCs w:val="22"/>
        </w:rPr>
      </w:pPr>
      <w:r>
        <w:rPr>
          <w:sz w:val="22"/>
          <w:szCs w:val="22"/>
        </w:rPr>
        <w:t>It is the responsibility of the UTC to ensure a young person attends college once they are on roll. Where reasonably possible, we will hold more than one emergency contact number for each pupil.</w:t>
      </w:r>
    </w:p>
    <w:p>
      <w:pPr>
        <w:jc w:val="both"/>
        <w:rPr>
          <w:b/>
          <w:sz w:val="22"/>
          <w:szCs w:val="22"/>
        </w:rPr>
      </w:pPr>
    </w:p>
    <w:p>
      <w:pPr>
        <w:jc w:val="both"/>
        <w:rPr>
          <w:sz w:val="22"/>
          <w:szCs w:val="22"/>
        </w:rPr>
      </w:pPr>
      <w:r>
        <w:rPr>
          <w:sz w:val="22"/>
          <w:szCs w:val="22"/>
        </w:rPr>
        <w:t>‘A child is only classed as missing education when the school do not have knowledge of their location. If the child is known to be resident at an address but is not attending school, this is a school attendance issue, which will be addressed through the school attendance policy.’(UTC Attendance Policy). It is illegal to remove a child from school roll under these circumstances (prolonged absence from school) unless the school have evidence that the parents/carers have secured a place at alternative educational provision or have withdrawn to home educate.</w:t>
      </w:r>
    </w:p>
    <w:p>
      <w:pPr>
        <w:jc w:val="both"/>
        <w:rPr>
          <w:b/>
          <w:sz w:val="22"/>
          <w:szCs w:val="22"/>
        </w:rPr>
      </w:pPr>
    </w:p>
    <w:p>
      <w:pPr>
        <w:jc w:val="both"/>
        <w:rPr>
          <w:sz w:val="22"/>
          <w:szCs w:val="22"/>
        </w:rPr>
      </w:pPr>
      <w:r>
        <w:rPr>
          <w:sz w:val="22"/>
          <w:szCs w:val="22"/>
        </w:rPr>
        <w:t xml:space="preserve">A child going missing from an education setting is a potential indicator of abuse and neglect. </w:t>
      </w:r>
    </w:p>
    <w:p>
      <w:pPr>
        <w:jc w:val="both"/>
        <w:rPr>
          <w:sz w:val="22"/>
          <w:szCs w:val="22"/>
        </w:rPr>
      </w:pPr>
      <w:r>
        <w:rPr>
          <w:sz w:val="22"/>
          <w:szCs w:val="22"/>
        </w:rPr>
        <w:t xml:space="preserve">Any concerns surrounding attendance should be raised in the first instance with the Behaviour and Attendance Officer who implements the Attendance Policy and makes initial referrals to the Education Welfare Officer.  If after the following the protocols of the Attendance Policy concerns still remain, the Behaviour and Attendance Officer should raise this with the Designated Safeguarding Lead who will decide what further action is necessary, as illustrated in SOP 6 including but not limited to contacting Police or LADO on a case by case basis. </w:t>
      </w:r>
    </w:p>
    <w:p>
      <w:pPr>
        <w:rPr>
          <w:sz w:val="22"/>
          <w:szCs w:val="22"/>
        </w:rPr>
      </w:pPr>
    </w:p>
    <w:p>
      <w:pPr>
        <w:rPr>
          <w:sz w:val="22"/>
          <w:szCs w:val="22"/>
        </w:rPr>
      </w:pPr>
    </w:p>
    <w:p>
      <w:pPr>
        <w:rPr>
          <w:b/>
          <w:caps/>
          <w:sz w:val="22"/>
          <w:szCs w:val="22"/>
        </w:rPr>
      </w:pPr>
    </w:p>
    <w:p>
      <w:pPr>
        <w:rPr>
          <w:b/>
          <w:caps/>
          <w:sz w:val="22"/>
          <w:szCs w:val="22"/>
        </w:rPr>
      </w:pPr>
    </w:p>
    <w:p>
      <w:pPr>
        <w:rPr>
          <w:b/>
          <w:caps/>
          <w:sz w:val="22"/>
          <w:szCs w:val="22"/>
        </w:rPr>
      </w:pPr>
    </w:p>
    <w:p>
      <w:pPr>
        <w:rPr>
          <w:b/>
          <w:caps/>
          <w:sz w:val="22"/>
          <w:szCs w:val="22"/>
        </w:rPr>
      </w:pPr>
      <w:r>
        <w:rPr>
          <w:b/>
          <w:caps/>
          <w:sz w:val="22"/>
          <w:szCs w:val="22"/>
        </w:rPr>
        <w:lastRenderedPageBreak/>
        <w:t xml:space="preserve">9. Dealing with Disclosure of Abuse and Procedure for Reporting Concerns </w:t>
      </w:r>
    </w:p>
    <w:p>
      <w:pPr>
        <w:rPr>
          <w:sz w:val="22"/>
          <w:szCs w:val="22"/>
        </w:rPr>
      </w:pPr>
    </w:p>
    <w:p>
      <w:pPr>
        <w:pStyle w:val="NormalWeb"/>
        <w:rPr>
          <w:rFonts w:ascii="Arial" w:hAnsi="Arial" w:cs="Arial"/>
          <w:sz w:val="22"/>
          <w:szCs w:val="22"/>
        </w:rPr>
      </w:pPr>
      <w:r>
        <w:rPr>
          <w:rFonts w:ascii="Arial" w:hAnsi="Arial" w:cs="Arial"/>
          <w:sz w:val="22"/>
          <w:szCs w:val="22"/>
        </w:rPr>
        <w:t>All staff at Lincoln UTC receive annual safeguarding training. All visitors and volunteers are provided with written guidance to read prior to working alongside young people. Staff and volunteers should raise concerns about poor or unsafe practice and potential failures in the school or college’s safeguarding regime. Appropriate whistleblowing procedures, which are suitably reflected in staff training and staff behaviour policies, are in place for such concerns to be raised with the college’s management team (UTC Whistleblowing Policy).</w:t>
      </w:r>
    </w:p>
    <w:p>
      <w:pPr>
        <w:pStyle w:val="NormalWeb"/>
        <w:rPr>
          <w:rFonts w:ascii="Arial" w:hAnsi="Arial" w:cs="Arial"/>
          <w:sz w:val="22"/>
          <w:szCs w:val="22"/>
        </w:rPr>
      </w:pPr>
      <w:r>
        <w:rPr>
          <w:rFonts w:ascii="Arial" w:hAnsi="Arial" w:cs="Arial"/>
          <w:sz w:val="22"/>
          <w:szCs w:val="22"/>
        </w:rPr>
        <w:t>Professionals can also call the NSPCC ‘Whistleblowing Helpline’ for anonymous advice and support, if they have concerns about how child protection issues are being handled, by calling or emailing the details at the front of this policy document (Page 6).</w:t>
      </w:r>
    </w:p>
    <w:p>
      <w:pPr>
        <w:pStyle w:val="PlainText"/>
        <w:jc w:val="both"/>
        <w:rPr>
          <w:rFonts w:ascii="Arial" w:hAnsi="Arial" w:cs="Arial"/>
          <w:sz w:val="22"/>
          <w:szCs w:val="22"/>
        </w:rPr>
      </w:pPr>
      <w:r>
        <w:rPr>
          <w:rFonts w:ascii="Arial" w:hAnsi="Arial" w:cs="Arial"/>
          <w:sz w:val="22"/>
          <w:szCs w:val="22"/>
        </w:rPr>
        <w:t>The following explains the training around disclosure that all staff members receive in Safeguarding Training at Induction:</w:t>
      </w:r>
    </w:p>
    <w:p>
      <w:pPr>
        <w:pStyle w:val="PlainText"/>
        <w:ind w:left="1440"/>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The Safeguarding Lead must be informed immediately by an employee of the UTC, student of the UTC, parent of the UTC or other persons, in the following circumstances:</w:t>
      </w:r>
    </w:p>
    <w:p>
      <w:pPr>
        <w:pStyle w:val="PlainText"/>
        <w:ind w:left="1440"/>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1. Where there is suspicion that a young person is being abused whilst in the care of the UTC.</w:t>
      </w:r>
    </w:p>
    <w:p>
      <w:pPr>
        <w:pStyle w:val="PlainText"/>
        <w:jc w:val="both"/>
        <w:rPr>
          <w:rFonts w:ascii="Arial" w:hAnsi="Arial" w:cs="Arial"/>
          <w:sz w:val="22"/>
          <w:szCs w:val="22"/>
        </w:rPr>
      </w:pPr>
      <w:r>
        <w:rPr>
          <w:rFonts w:ascii="Arial" w:hAnsi="Arial" w:cs="Arial"/>
          <w:sz w:val="22"/>
          <w:szCs w:val="22"/>
        </w:rPr>
        <w:t>2. Where there is evidence that a young person is being abused whilst in the care of the UTC.</w:t>
      </w:r>
    </w:p>
    <w:p>
      <w:pPr>
        <w:pStyle w:val="PlainText"/>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Staff should not investigate concerns or allegations themselves but should report them immediately to the Designated Safeguarding Lead.  Guidelines on what to do if a young person makes a disclosure to can be found in SOP 1. The DSL will then follow SOP 2, 3 and 4 as appropriate.</w:t>
      </w:r>
    </w:p>
    <w:p>
      <w:pPr>
        <w:pStyle w:val="PlainText"/>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 xml:space="preserve">If the Designated Safeguarding Lead, is not on site or available, or the issue relates to the Designated Safeguarding Lead, the disclosure should be shared with the Deputy Designated Safeguarding Lead. </w:t>
      </w:r>
    </w:p>
    <w:p>
      <w:pPr>
        <w:pStyle w:val="PlainText"/>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 xml:space="preserve">If the Deputy Designated Safeguarding Lead is not available or the issue relates to her, the disclosure should be shared with the Principal. </w:t>
      </w:r>
    </w:p>
    <w:p>
      <w:pPr>
        <w:pStyle w:val="PlainText"/>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If the Principal is not available or the issue relates to her, the disclosure should be passed to the Chair of the Board of Directors.</w:t>
      </w:r>
    </w:p>
    <w:p>
      <w:pPr>
        <w:pStyle w:val="PlainText"/>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The Governing Body, Principal and Safeguarding Lead will ensure that the child’s wishes or feelings are taken into account when determining what action to take and what services to provide to protect individual children through ensuring there are systems in place for children to express their views and give feedback. Governing bodies and proprietors should ensure that staff members do not promise confidentiality to the child and always act in the interests of the child.</w:t>
      </w:r>
    </w:p>
    <w:p>
      <w:pPr>
        <w:pStyle w:val="PlainText"/>
        <w:jc w:val="both"/>
        <w:rPr>
          <w:rFonts w:ascii="Arial" w:hAnsi="Arial" w:cs="Arial"/>
          <w:sz w:val="22"/>
          <w:szCs w:val="22"/>
        </w:rPr>
      </w:pPr>
    </w:p>
    <w:p>
      <w:pPr>
        <w:autoSpaceDE w:val="0"/>
        <w:autoSpaceDN w:val="0"/>
        <w:adjustRightInd w:val="0"/>
        <w:rPr>
          <w:b/>
          <w:bCs/>
          <w:color w:val="000000"/>
          <w:sz w:val="22"/>
          <w:szCs w:val="22"/>
        </w:rPr>
      </w:pPr>
      <w:r>
        <w:rPr>
          <w:bCs/>
          <w:color w:val="000000"/>
          <w:sz w:val="22"/>
          <w:szCs w:val="22"/>
        </w:rPr>
        <w:t xml:space="preserve">If, at any point, there is a risk of immediate serious harm to a child a referral should be made to children’s social care immediately. </w:t>
      </w:r>
      <w:r>
        <w:rPr>
          <w:b/>
          <w:bCs/>
          <w:color w:val="000000"/>
          <w:sz w:val="22"/>
          <w:szCs w:val="22"/>
        </w:rPr>
        <w:t xml:space="preserve">Anybody may raise concerns directly with Children’s Social Care services by calling 01522 782111. </w:t>
      </w:r>
    </w:p>
    <w:p>
      <w:pPr>
        <w:autoSpaceDE w:val="0"/>
        <w:autoSpaceDN w:val="0"/>
        <w:adjustRightInd w:val="0"/>
        <w:rPr>
          <w:b/>
          <w:bCs/>
          <w:color w:val="000000"/>
          <w:sz w:val="22"/>
          <w:szCs w:val="22"/>
        </w:rPr>
      </w:pPr>
      <w:r>
        <w:rPr>
          <w:bCs/>
          <w:color w:val="000000"/>
          <w:sz w:val="22"/>
          <w:szCs w:val="22"/>
        </w:rPr>
        <w:t xml:space="preserve">If the child’s situation does not appear to be improving the staff member with concerns should press for re-consideration. </w:t>
      </w:r>
      <w:r>
        <w:rPr>
          <w:b/>
          <w:bCs/>
          <w:color w:val="000000"/>
          <w:sz w:val="22"/>
          <w:szCs w:val="22"/>
        </w:rPr>
        <w:t xml:space="preserve">Concerns should always lead to help for the child at some point. </w:t>
      </w:r>
    </w:p>
    <w:p>
      <w:pPr>
        <w:autoSpaceDE w:val="0"/>
        <w:autoSpaceDN w:val="0"/>
        <w:adjustRightInd w:val="0"/>
        <w:rPr>
          <w:b/>
          <w:bCs/>
          <w:color w:val="000000"/>
          <w:sz w:val="22"/>
          <w:szCs w:val="22"/>
        </w:rPr>
      </w:pPr>
    </w:p>
    <w:p>
      <w:pPr>
        <w:pStyle w:val="PlainText"/>
        <w:jc w:val="both"/>
        <w:rPr>
          <w:rFonts w:ascii="Arial" w:hAnsi="Arial" w:cs="Arial"/>
          <w:sz w:val="22"/>
          <w:szCs w:val="22"/>
        </w:rPr>
      </w:pPr>
      <w:r>
        <w:rPr>
          <w:rFonts w:ascii="Arial" w:hAnsi="Arial" w:cs="Arial"/>
          <w:sz w:val="22"/>
          <w:szCs w:val="22"/>
        </w:rPr>
        <w:t xml:space="preserve">In the event of the complaint being made by:  </w:t>
      </w:r>
    </w:p>
    <w:p>
      <w:pPr>
        <w:pStyle w:val="PlainText"/>
        <w:numPr>
          <w:ilvl w:val="0"/>
          <w:numId w:val="39"/>
        </w:numPr>
        <w:jc w:val="both"/>
        <w:rPr>
          <w:rFonts w:ascii="Arial" w:hAnsi="Arial" w:cs="Arial"/>
          <w:sz w:val="22"/>
          <w:szCs w:val="22"/>
        </w:rPr>
      </w:pPr>
      <w:r>
        <w:rPr>
          <w:rFonts w:ascii="Arial" w:hAnsi="Arial" w:cs="Arial"/>
          <w:sz w:val="22"/>
          <w:szCs w:val="22"/>
        </w:rPr>
        <w:t>a young person against another student, or</w:t>
      </w:r>
    </w:p>
    <w:p>
      <w:pPr>
        <w:pStyle w:val="PlainText"/>
        <w:numPr>
          <w:ilvl w:val="0"/>
          <w:numId w:val="39"/>
        </w:numPr>
        <w:jc w:val="both"/>
        <w:rPr>
          <w:rFonts w:ascii="Arial" w:hAnsi="Arial" w:cs="Arial"/>
          <w:sz w:val="22"/>
          <w:szCs w:val="22"/>
        </w:rPr>
      </w:pPr>
      <w:r>
        <w:rPr>
          <w:rFonts w:ascii="Arial" w:hAnsi="Arial" w:cs="Arial"/>
          <w:sz w:val="22"/>
          <w:szCs w:val="22"/>
        </w:rPr>
        <w:t>a young person against an employee of the UTC</w:t>
      </w:r>
    </w:p>
    <w:p>
      <w:pPr>
        <w:pStyle w:val="PlainText"/>
        <w:jc w:val="both"/>
        <w:rPr>
          <w:rFonts w:ascii="Arial" w:hAnsi="Arial" w:cs="Arial"/>
          <w:sz w:val="22"/>
          <w:szCs w:val="22"/>
        </w:rPr>
      </w:pPr>
    </w:p>
    <w:p>
      <w:pPr>
        <w:pStyle w:val="PlainText"/>
        <w:jc w:val="both"/>
        <w:rPr>
          <w:rFonts w:ascii="Arial" w:hAnsi="Arial" w:cs="Arial"/>
          <w:sz w:val="22"/>
          <w:szCs w:val="22"/>
        </w:rPr>
      </w:pPr>
      <w:proofErr w:type="gramStart"/>
      <w:r>
        <w:rPr>
          <w:rFonts w:ascii="Arial" w:hAnsi="Arial" w:cs="Arial"/>
          <w:sz w:val="22"/>
          <w:szCs w:val="22"/>
        </w:rPr>
        <w:lastRenderedPageBreak/>
        <w:t>the</w:t>
      </w:r>
      <w:proofErr w:type="gramEnd"/>
      <w:r>
        <w:rPr>
          <w:rFonts w:ascii="Arial" w:hAnsi="Arial" w:cs="Arial"/>
          <w:sz w:val="22"/>
          <w:szCs w:val="22"/>
        </w:rPr>
        <w:t xml:space="preserve"> disclosure must be shared with the Designated Safeguarding Lead (or DDSL) or the Principal and the follow the process and guidance below:</w:t>
      </w:r>
    </w:p>
    <w:p>
      <w:pPr>
        <w:pStyle w:val="PlainText"/>
        <w:ind w:left="1440"/>
        <w:jc w:val="both"/>
        <w:rPr>
          <w:rFonts w:ascii="Arial" w:hAnsi="Arial" w:cs="Arial"/>
          <w:sz w:val="22"/>
          <w:szCs w:val="22"/>
        </w:rPr>
      </w:pPr>
    </w:p>
    <w:p>
      <w:pPr>
        <w:pStyle w:val="PlainText"/>
        <w:jc w:val="both"/>
        <w:rPr>
          <w:rFonts w:ascii="Arial" w:hAnsi="Arial" w:cs="Arial"/>
          <w:sz w:val="22"/>
          <w:szCs w:val="22"/>
        </w:rPr>
      </w:pPr>
    </w:p>
    <w:p>
      <w:pPr>
        <w:pStyle w:val="Default"/>
        <w:numPr>
          <w:ilvl w:val="0"/>
          <w:numId w:val="13"/>
        </w:numPr>
        <w:rPr>
          <w:rFonts w:ascii="Arial" w:hAnsi="Arial" w:cs="Arial"/>
          <w:sz w:val="22"/>
          <w:szCs w:val="22"/>
        </w:rPr>
      </w:pPr>
      <w:r>
        <w:rPr>
          <w:rFonts w:ascii="Arial" w:hAnsi="Arial" w:cs="Arial"/>
          <w:sz w:val="22"/>
          <w:szCs w:val="22"/>
        </w:rPr>
        <w:t>The Designated Safeguarding Lead will keep a full record of reports made.  In the case of allegations against another student, records will kept on both students files.</w:t>
      </w:r>
    </w:p>
    <w:p>
      <w:pPr>
        <w:pStyle w:val="Default"/>
        <w:numPr>
          <w:ilvl w:val="0"/>
          <w:numId w:val="13"/>
        </w:numPr>
        <w:rPr>
          <w:rFonts w:ascii="Arial" w:hAnsi="Arial" w:cs="Arial"/>
          <w:sz w:val="22"/>
          <w:szCs w:val="22"/>
        </w:rPr>
      </w:pPr>
      <w:r>
        <w:rPr>
          <w:rFonts w:ascii="Arial" w:hAnsi="Arial" w:cs="Arial"/>
          <w:sz w:val="22"/>
          <w:szCs w:val="22"/>
        </w:rPr>
        <w:t>The Principal be kept informed at all times.</w:t>
      </w:r>
    </w:p>
    <w:p>
      <w:pPr>
        <w:pStyle w:val="Default"/>
        <w:numPr>
          <w:ilvl w:val="0"/>
          <w:numId w:val="13"/>
        </w:numPr>
        <w:rPr>
          <w:rFonts w:ascii="Arial" w:hAnsi="Arial" w:cs="Arial"/>
          <w:sz w:val="22"/>
          <w:szCs w:val="22"/>
        </w:rPr>
      </w:pPr>
      <w:r>
        <w:rPr>
          <w:rFonts w:ascii="Arial" w:hAnsi="Arial" w:cs="Arial"/>
          <w:sz w:val="22"/>
          <w:szCs w:val="22"/>
        </w:rPr>
        <w:t>All staff at the UTC must be aware that if they are concerned about a young person, or suspect that abuse is taking place, it is their statutory duty to act on it by reporting as directed by this Safeguarding and Child Protection Policy.</w:t>
      </w:r>
    </w:p>
    <w:p>
      <w:pPr>
        <w:pStyle w:val="Default"/>
        <w:numPr>
          <w:ilvl w:val="0"/>
          <w:numId w:val="13"/>
        </w:numPr>
        <w:rPr>
          <w:rFonts w:ascii="Arial" w:hAnsi="Arial" w:cs="Arial"/>
          <w:sz w:val="22"/>
          <w:szCs w:val="22"/>
        </w:rPr>
      </w:pPr>
      <w:r>
        <w:rPr>
          <w:rFonts w:ascii="Arial" w:hAnsi="Arial" w:cs="Arial"/>
          <w:sz w:val="22"/>
          <w:szCs w:val="22"/>
        </w:rPr>
        <w:t>Concerns must always be reported immediately, whether this is inappropriate information, a false allegation, a disclosure or merely having concerns about a young person.</w:t>
      </w:r>
    </w:p>
    <w:p>
      <w:pPr>
        <w:pStyle w:val="Default"/>
        <w:numPr>
          <w:ilvl w:val="0"/>
          <w:numId w:val="13"/>
        </w:numPr>
        <w:rPr>
          <w:rFonts w:ascii="Arial" w:hAnsi="Arial" w:cs="Arial"/>
          <w:sz w:val="22"/>
          <w:szCs w:val="22"/>
        </w:rPr>
      </w:pPr>
      <w:r>
        <w:rPr>
          <w:rFonts w:ascii="Arial" w:hAnsi="Arial" w:cs="Arial"/>
          <w:sz w:val="22"/>
          <w:szCs w:val="22"/>
        </w:rPr>
        <w:t>Staff must never wait to ‘see what happens’.</w:t>
      </w:r>
    </w:p>
    <w:p>
      <w:pPr>
        <w:pStyle w:val="Default"/>
        <w:numPr>
          <w:ilvl w:val="0"/>
          <w:numId w:val="13"/>
        </w:numPr>
        <w:rPr>
          <w:rFonts w:ascii="Arial" w:hAnsi="Arial" w:cs="Arial"/>
          <w:sz w:val="22"/>
          <w:szCs w:val="22"/>
        </w:rPr>
      </w:pPr>
      <w:r>
        <w:rPr>
          <w:rFonts w:ascii="Arial" w:hAnsi="Arial" w:cs="Arial"/>
          <w:sz w:val="22"/>
          <w:szCs w:val="22"/>
        </w:rPr>
        <w:t>Staff must always abide by the procedures and never question a young person or try to investigate themselves as this could prejudice a case by probing for more information than is given. If an investigation is necessary it will be handled by child protection professionals.</w:t>
      </w:r>
    </w:p>
    <w:p>
      <w:pPr>
        <w:pStyle w:val="Default"/>
        <w:rPr>
          <w:rFonts w:ascii="Arial" w:hAnsi="Arial" w:cs="Arial"/>
          <w:b/>
          <w:sz w:val="22"/>
          <w:szCs w:val="22"/>
        </w:rPr>
      </w:pPr>
    </w:p>
    <w:p>
      <w:pPr>
        <w:autoSpaceDE w:val="0"/>
        <w:autoSpaceDN w:val="0"/>
        <w:adjustRightInd w:val="0"/>
        <w:rPr>
          <w:bCs/>
          <w:color w:val="000000"/>
          <w:sz w:val="22"/>
          <w:szCs w:val="22"/>
        </w:rPr>
      </w:pPr>
      <w:r>
        <w:rPr>
          <w:sz w:val="22"/>
          <w:szCs w:val="22"/>
        </w:rPr>
        <w:t xml:space="preserve">The college recognises that an allegation of abuse made against staff or another student may be made for a variety of reasons and that the facts of the allegation may or may not be true. </w:t>
      </w:r>
      <w:r>
        <w:rPr>
          <w:bCs/>
          <w:color w:val="000000"/>
          <w:sz w:val="22"/>
          <w:szCs w:val="22"/>
        </w:rPr>
        <w:t>Once an allegation against a member of staff or another student has been reported in line with this procedure, the appropriate and relevant HR processes will be initiated as detailed in the UTC Disciplinary Policy document.</w:t>
      </w:r>
    </w:p>
    <w:p>
      <w:pPr>
        <w:pStyle w:val="PlainText"/>
        <w:ind w:left="1440"/>
        <w:jc w:val="both"/>
        <w:rPr>
          <w:rFonts w:ascii="Arial" w:hAnsi="Arial" w:cs="Arial"/>
          <w:sz w:val="22"/>
          <w:szCs w:val="22"/>
        </w:rPr>
      </w:pPr>
    </w:p>
    <w:p>
      <w:pPr>
        <w:pStyle w:val="ListParagraph"/>
        <w:rPr>
          <w:sz w:val="22"/>
          <w:szCs w:val="22"/>
        </w:rPr>
      </w:pPr>
    </w:p>
    <w:p>
      <w:pPr>
        <w:pStyle w:val="PlainText"/>
        <w:tabs>
          <w:tab w:val="left" w:pos="1440"/>
          <w:tab w:val="left" w:pos="2160"/>
        </w:tabs>
        <w:jc w:val="both"/>
        <w:rPr>
          <w:rFonts w:ascii="Arial" w:hAnsi="Arial" w:cs="Arial"/>
          <w:b/>
          <w:sz w:val="22"/>
          <w:szCs w:val="22"/>
        </w:rPr>
      </w:pPr>
      <w:r>
        <w:rPr>
          <w:rFonts w:ascii="Arial" w:hAnsi="Arial" w:cs="Arial"/>
          <w:b/>
          <w:sz w:val="22"/>
          <w:szCs w:val="22"/>
        </w:rPr>
        <w:t xml:space="preserve">Target Timescales </w:t>
      </w:r>
    </w:p>
    <w:p>
      <w:pPr>
        <w:pStyle w:val="ListParagraph"/>
        <w:rPr>
          <w:b/>
          <w:sz w:val="22"/>
          <w:szCs w:val="22"/>
        </w:rPr>
      </w:pPr>
    </w:p>
    <w:p>
      <w:pPr>
        <w:pStyle w:val="PlainText"/>
        <w:tabs>
          <w:tab w:val="left" w:pos="1440"/>
          <w:tab w:val="left" w:pos="2160"/>
        </w:tabs>
        <w:jc w:val="both"/>
        <w:rPr>
          <w:rFonts w:ascii="Arial" w:hAnsi="Arial" w:cs="Arial"/>
          <w:sz w:val="22"/>
          <w:szCs w:val="22"/>
        </w:rPr>
      </w:pPr>
      <w:r>
        <w:rPr>
          <w:rFonts w:ascii="Arial" w:hAnsi="Arial" w:cs="Arial"/>
          <w:sz w:val="22"/>
          <w:szCs w:val="22"/>
        </w:rPr>
        <w:t>It is in everyone’s interest to resolve cases as quickly as possible consistent with a fair and thorough investigation. All allegations will be investigated as a priority to avoid any delay and minimise the inevitable but necessary stress on those involved. The time taken to investigate and resolve individual cases depends on a variety of factors including the nature, seriousness and complexity of the allegation.</w:t>
      </w:r>
    </w:p>
    <w:p>
      <w:pPr>
        <w:autoSpaceDE w:val="0"/>
        <w:autoSpaceDN w:val="0"/>
        <w:adjustRightInd w:val="0"/>
        <w:rPr>
          <w:sz w:val="22"/>
          <w:szCs w:val="22"/>
        </w:rPr>
      </w:pPr>
    </w:p>
    <w:p>
      <w:pPr>
        <w:jc w:val="both"/>
        <w:rPr>
          <w:sz w:val="22"/>
          <w:szCs w:val="22"/>
        </w:rPr>
      </w:pPr>
    </w:p>
    <w:p>
      <w:pPr>
        <w:rPr>
          <w:b/>
          <w:sz w:val="22"/>
          <w:szCs w:val="22"/>
        </w:rPr>
      </w:pPr>
      <w:r>
        <w:rPr>
          <w:b/>
          <w:sz w:val="22"/>
          <w:szCs w:val="22"/>
        </w:rPr>
        <w:t>All procedures for safeguarding referrals can be found in the Appendices to this policy.</w:t>
      </w:r>
    </w:p>
    <w:p>
      <w:pPr>
        <w:ind w:left="1418" w:firstLine="11"/>
        <w:jc w:val="both"/>
        <w:rPr>
          <w:sz w:val="22"/>
          <w:szCs w:val="22"/>
        </w:rPr>
        <w:sectPr>
          <w:pgSz w:w="11900" w:h="16820"/>
          <w:pgMar w:top="720" w:right="1440" w:bottom="720" w:left="1440" w:header="706" w:footer="706" w:gutter="0"/>
          <w:cols w:space="708"/>
          <w:docGrid w:linePitch="360"/>
        </w:sectPr>
      </w:pPr>
    </w:p>
    <w:p>
      <w:pPr>
        <w:ind w:left="1418" w:firstLine="11"/>
        <w:jc w:val="both"/>
        <w:rPr>
          <w:sz w:val="22"/>
          <w:szCs w:val="22"/>
        </w:rPr>
      </w:pPr>
    </w:p>
    <w:p>
      <w:pPr>
        <w:rPr>
          <w:b/>
          <w:color w:val="000000"/>
          <w:sz w:val="22"/>
          <w:szCs w:val="22"/>
        </w:rPr>
      </w:pPr>
      <w:r>
        <w:rPr>
          <w:b/>
          <w:color w:val="000000"/>
          <w:sz w:val="22"/>
          <w:szCs w:val="22"/>
        </w:rPr>
        <w:t>10.  PREVENT AGENDA POLICY</w:t>
      </w:r>
    </w:p>
    <w:p>
      <w:pPr>
        <w:rPr>
          <w:b/>
          <w:sz w:val="22"/>
          <w:szCs w:val="22"/>
        </w:rPr>
      </w:pPr>
    </w:p>
    <w:p>
      <w:pPr>
        <w:rPr>
          <w:sz w:val="22"/>
          <w:szCs w:val="22"/>
        </w:rPr>
      </w:pPr>
      <w:r>
        <w:rPr>
          <w:sz w:val="22"/>
          <w:szCs w:val="22"/>
        </w:rPr>
        <w:t>Lincolnshire is currently a low risk area in terms of terrorist acts and radicalisation but it is important that we remain vigilant in our approach to supporting vulnerable young people. As part of the Prevent strategy, Lincolnshire considers the risks of all extreme activity including that of faith based extremism, the extreme right wing ideology and all other forms of extremism.</w:t>
      </w:r>
    </w:p>
    <w:p>
      <w:pPr>
        <w:rPr>
          <w:sz w:val="22"/>
          <w:szCs w:val="22"/>
        </w:rPr>
      </w:pPr>
    </w:p>
    <w:p>
      <w:pPr>
        <w:rPr>
          <w:b/>
          <w:sz w:val="22"/>
          <w:szCs w:val="22"/>
        </w:rPr>
      </w:pPr>
      <w:r>
        <w:rPr>
          <w:b/>
          <w:sz w:val="22"/>
          <w:szCs w:val="22"/>
        </w:rPr>
        <w:t>Definitions and Indicators</w:t>
      </w:r>
    </w:p>
    <w:p>
      <w:pPr>
        <w:rPr>
          <w:sz w:val="22"/>
          <w:szCs w:val="22"/>
        </w:rPr>
      </w:pPr>
    </w:p>
    <w:p>
      <w:pPr>
        <w:rPr>
          <w:sz w:val="22"/>
          <w:szCs w:val="22"/>
        </w:rPr>
      </w:pPr>
      <w:r>
        <w:rPr>
          <w:sz w:val="22"/>
          <w:szCs w:val="22"/>
        </w:rPr>
        <w:t xml:space="preserve">Radicalisation is defined as the act or process of making a person more radical or favouring of extreme or fundamental changes in political, economic or social conditions, institutions or habits of the mind. </w:t>
      </w:r>
    </w:p>
    <w:p>
      <w:pPr>
        <w:rPr>
          <w:sz w:val="22"/>
          <w:szCs w:val="22"/>
        </w:rPr>
      </w:pPr>
    </w:p>
    <w:p>
      <w:pPr>
        <w:autoSpaceDE w:val="0"/>
        <w:autoSpaceDN w:val="0"/>
        <w:adjustRightInd w:val="0"/>
        <w:rPr>
          <w:sz w:val="22"/>
          <w:szCs w:val="22"/>
        </w:rPr>
      </w:pPr>
      <w:r>
        <w:rPr>
          <w:sz w:val="22"/>
          <w:szCs w:val="22"/>
        </w:rPr>
        <w:t>‘Extremism’ is defined in the 2011 Prevent strategy as vocal or active opposition to fundamental British values, including democracy, the rule of law, individual liberty and mutual respect and tolerance of different faiths and beliefs. The definition of extremism also includes calls for the death of members of the British armed forces, whether in this country or overseas</w:t>
      </w:r>
    </w:p>
    <w:p>
      <w:pPr>
        <w:autoSpaceDE w:val="0"/>
        <w:autoSpaceDN w:val="0"/>
        <w:adjustRightInd w:val="0"/>
        <w:rPr>
          <w:sz w:val="22"/>
          <w:szCs w:val="22"/>
        </w:rPr>
      </w:pPr>
    </w:p>
    <w:p>
      <w:pPr>
        <w:rPr>
          <w:sz w:val="22"/>
          <w:szCs w:val="22"/>
        </w:rPr>
      </w:pPr>
      <w:r>
        <w:rPr>
          <w:sz w:val="22"/>
          <w:szCs w:val="22"/>
        </w:rPr>
        <w:t xml:space="preserve">Radicalisation is a form of grooming and therefore abuse. Indicators which could include as below: </w:t>
      </w:r>
    </w:p>
    <w:p>
      <w:pPr>
        <w:pStyle w:val="ListParagraph"/>
        <w:ind w:left="1440"/>
        <w:rPr>
          <w:sz w:val="22"/>
          <w:szCs w:val="22"/>
        </w:rPr>
      </w:pPr>
    </w:p>
    <w:p>
      <w:pPr>
        <w:pStyle w:val="Default"/>
        <w:numPr>
          <w:ilvl w:val="0"/>
          <w:numId w:val="29"/>
        </w:numPr>
        <w:rPr>
          <w:rFonts w:ascii="Arial" w:hAnsi="Arial" w:cs="Arial"/>
          <w:sz w:val="22"/>
          <w:szCs w:val="22"/>
        </w:rPr>
      </w:pPr>
      <w:r>
        <w:rPr>
          <w:rFonts w:ascii="Arial" w:hAnsi="Arial" w:cs="Arial"/>
          <w:sz w:val="22"/>
          <w:szCs w:val="22"/>
        </w:rPr>
        <w:t xml:space="preserve">Changing their style of dress or personal appearance to accord with the group. </w:t>
      </w:r>
    </w:p>
    <w:p>
      <w:pPr>
        <w:pStyle w:val="Default"/>
        <w:numPr>
          <w:ilvl w:val="0"/>
          <w:numId w:val="29"/>
        </w:numPr>
        <w:rPr>
          <w:rFonts w:ascii="Arial" w:hAnsi="Arial" w:cs="Arial"/>
          <w:sz w:val="22"/>
          <w:szCs w:val="22"/>
        </w:rPr>
      </w:pPr>
      <w:r>
        <w:rPr>
          <w:rFonts w:ascii="Arial" w:hAnsi="Arial" w:cs="Arial"/>
          <w:sz w:val="22"/>
          <w:szCs w:val="22"/>
        </w:rPr>
        <w:t>Self- segregation</w:t>
      </w:r>
    </w:p>
    <w:p>
      <w:pPr>
        <w:pStyle w:val="Default"/>
        <w:numPr>
          <w:ilvl w:val="0"/>
          <w:numId w:val="29"/>
        </w:numPr>
        <w:rPr>
          <w:rFonts w:ascii="Arial" w:hAnsi="Arial" w:cs="Arial"/>
          <w:sz w:val="22"/>
          <w:szCs w:val="22"/>
        </w:rPr>
      </w:pPr>
      <w:r>
        <w:rPr>
          <w:rFonts w:ascii="Arial" w:hAnsi="Arial" w:cs="Arial"/>
          <w:sz w:val="22"/>
          <w:szCs w:val="22"/>
        </w:rPr>
        <w:t xml:space="preserve">Day-to-day behaviour becoming increasingly centred on an extremist ideology, group or cause. </w:t>
      </w:r>
    </w:p>
    <w:p>
      <w:pPr>
        <w:pStyle w:val="Default"/>
        <w:numPr>
          <w:ilvl w:val="0"/>
          <w:numId w:val="29"/>
        </w:numPr>
        <w:rPr>
          <w:rFonts w:ascii="Arial" w:hAnsi="Arial" w:cs="Arial"/>
          <w:sz w:val="22"/>
          <w:szCs w:val="22"/>
        </w:rPr>
      </w:pPr>
      <w:r>
        <w:rPr>
          <w:rFonts w:ascii="Arial" w:hAnsi="Arial" w:cs="Arial"/>
          <w:sz w:val="22"/>
          <w:szCs w:val="22"/>
        </w:rPr>
        <w:t xml:space="preserve">Loss of interest in other friends and activities not associated with the extremist ideology, group or cause. </w:t>
      </w:r>
    </w:p>
    <w:p>
      <w:pPr>
        <w:pStyle w:val="Default"/>
        <w:numPr>
          <w:ilvl w:val="0"/>
          <w:numId w:val="29"/>
        </w:numPr>
        <w:rPr>
          <w:rFonts w:ascii="Arial" w:hAnsi="Arial" w:cs="Arial"/>
          <w:sz w:val="22"/>
          <w:szCs w:val="22"/>
        </w:rPr>
      </w:pPr>
      <w:r>
        <w:rPr>
          <w:rFonts w:ascii="Arial" w:hAnsi="Arial" w:cs="Arial"/>
          <w:sz w:val="22"/>
          <w:szCs w:val="22"/>
        </w:rPr>
        <w:t xml:space="preserve">Possession of materials or symbols associated with an extremist cause. </w:t>
      </w:r>
    </w:p>
    <w:p>
      <w:pPr>
        <w:pStyle w:val="Default"/>
        <w:numPr>
          <w:ilvl w:val="0"/>
          <w:numId w:val="29"/>
        </w:numPr>
        <w:rPr>
          <w:rFonts w:ascii="Arial" w:hAnsi="Arial" w:cs="Arial"/>
          <w:sz w:val="22"/>
          <w:szCs w:val="22"/>
        </w:rPr>
      </w:pPr>
      <w:r>
        <w:rPr>
          <w:rFonts w:ascii="Arial" w:hAnsi="Arial" w:cs="Arial"/>
          <w:sz w:val="22"/>
          <w:szCs w:val="22"/>
        </w:rPr>
        <w:t xml:space="preserve">Attempts to recruit others to the group/cause. </w:t>
      </w:r>
    </w:p>
    <w:p>
      <w:pPr>
        <w:pStyle w:val="Default"/>
        <w:numPr>
          <w:ilvl w:val="0"/>
          <w:numId w:val="29"/>
        </w:numPr>
        <w:rPr>
          <w:rFonts w:ascii="Arial" w:hAnsi="Arial" w:cs="Arial"/>
          <w:sz w:val="22"/>
          <w:szCs w:val="22"/>
        </w:rPr>
      </w:pPr>
      <w:r>
        <w:rPr>
          <w:rFonts w:ascii="Arial" w:hAnsi="Arial" w:cs="Arial"/>
          <w:sz w:val="22"/>
          <w:szCs w:val="22"/>
        </w:rPr>
        <w:t>Communications with others that suggests identification with a group, cause or ideology of concern</w:t>
      </w:r>
    </w:p>
    <w:p>
      <w:pPr>
        <w:pStyle w:val="Default"/>
        <w:numPr>
          <w:ilvl w:val="0"/>
          <w:numId w:val="29"/>
        </w:numPr>
        <w:rPr>
          <w:rFonts w:ascii="Arial" w:hAnsi="Arial" w:cs="Arial"/>
          <w:sz w:val="22"/>
          <w:szCs w:val="22"/>
        </w:rPr>
      </w:pPr>
      <w:r>
        <w:rPr>
          <w:rFonts w:ascii="Arial" w:hAnsi="Arial" w:cs="Arial"/>
          <w:sz w:val="22"/>
          <w:szCs w:val="22"/>
        </w:rPr>
        <w:t xml:space="preserve">Using insulting and/or derogatory names for another group. </w:t>
      </w:r>
    </w:p>
    <w:p>
      <w:pPr>
        <w:pStyle w:val="Default"/>
        <w:numPr>
          <w:ilvl w:val="0"/>
          <w:numId w:val="29"/>
        </w:numPr>
        <w:rPr>
          <w:rFonts w:ascii="Arial" w:hAnsi="Arial" w:cs="Arial"/>
          <w:sz w:val="22"/>
          <w:szCs w:val="22"/>
        </w:rPr>
      </w:pPr>
      <w:r>
        <w:rPr>
          <w:rFonts w:ascii="Arial" w:hAnsi="Arial" w:cs="Arial"/>
          <w:sz w:val="22"/>
          <w:szCs w:val="22"/>
        </w:rPr>
        <w:t xml:space="preserve">Increase in prejudice-related incidents committed by that person – these may include; </w:t>
      </w:r>
    </w:p>
    <w:p>
      <w:pPr>
        <w:pStyle w:val="Default"/>
        <w:numPr>
          <w:ilvl w:val="1"/>
          <w:numId w:val="29"/>
        </w:numPr>
        <w:rPr>
          <w:rFonts w:ascii="Arial" w:hAnsi="Arial" w:cs="Arial"/>
          <w:sz w:val="22"/>
          <w:szCs w:val="22"/>
        </w:rPr>
      </w:pPr>
      <w:r>
        <w:rPr>
          <w:rFonts w:ascii="Arial" w:hAnsi="Arial" w:cs="Arial"/>
          <w:sz w:val="22"/>
          <w:szCs w:val="22"/>
        </w:rPr>
        <w:t xml:space="preserve">physical or verbal assault </w:t>
      </w:r>
    </w:p>
    <w:p>
      <w:pPr>
        <w:pStyle w:val="Default"/>
        <w:numPr>
          <w:ilvl w:val="1"/>
          <w:numId w:val="29"/>
        </w:numPr>
        <w:rPr>
          <w:rFonts w:ascii="Arial" w:hAnsi="Arial" w:cs="Arial"/>
          <w:sz w:val="22"/>
          <w:szCs w:val="22"/>
        </w:rPr>
      </w:pPr>
      <w:r>
        <w:rPr>
          <w:rFonts w:ascii="Arial" w:hAnsi="Arial" w:cs="Arial"/>
          <w:sz w:val="22"/>
          <w:szCs w:val="22"/>
        </w:rPr>
        <w:t xml:space="preserve">provocative behaviour </w:t>
      </w:r>
    </w:p>
    <w:p>
      <w:pPr>
        <w:pStyle w:val="Default"/>
        <w:numPr>
          <w:ilvl w:val="1"/>
          <w:numId w:val="29"/>
        </w:numPr>
        <w:rPr>
          <w:rFonts w:ascii="Arial" w:hAnsi="Arial" w:cs="Arial"/>
          <w:sz w:val="22"/>
          <w:szCs w:val="22"/>
        </w:rPr>
      </w:pPr>
      <w:r>
        <w:rPr>
          <w:rFonts w:ascii="Arial" w:hAnsi="Arial" w:cs="Arial"/>
          <w:sz w:val="22"/>
          <w:szCs w:val="22"/>
        </w:rPr>
        <w:t xml:space="preserve">damage to property </w:t>
      </w:r>
    </w:p>
    <w:p>
      <w:pPr>
        <w:pStyle w:val="Default"/>
        <w:numPr>
          <w:ilvl w:val="1"/>
          <w:numId w:val="29"/>
        </w:numPr>
        <w:rPr>
          <w:rFonts w:ascii="Arial" w:hAnsi="Arial" w:cs="Arial"/>
          <w:sz w:val="22"/>
          <w:szCs w:val="22"/>
        </w:rPr>
      </w:pPr>
      <w:r>
        <w:rPr>
          <w:rFonts w:ascii="Arial" w:hAnsi="Arial" w:cs="Arial"/>
          <w:sz w:val="22"/>
          <w:szCs w:val="22"/>
        </w:rPr>
        <w:t xml:space="preserve">derogatory name calling </w:t>
      </w:r>
    </w:p>
    <w:p>
      <w:pPr>
        <w:pStyle w:val="Default"/>
        <w:numPr>
          <w:ilvl w:val="1"/>
          <w:numId w:val="29"/>
        </w:numPr>
        <w:rPr>
          <w:rFonts w:ascii="Arial" w:hAnsi="Arial" w:cs="Arial"/>
          <w:sz w:val="22"/>
          <w:szCs w:val="22"/>
        </w:rPr>
      </w:pPr>
      <w:r>
        <w:rPr>
          <w:rFonts w:ascii="Arial" w:hAnsi="Arial" w:cs="Arial"/>
          <w:sz w:val="22"/>
          <w:szCs w:val="22"/>
        </w:rPr>
        <w:t xml:space="preserve">possession of prejudice-related materials </w:t>
      </w:r>
    </w:p>
    <w:p>
      <w:pPr>
        <w:pStyle w:val="Default"/>
        <w:numPr>
          <w:ilvl w:val="1"/>
          <w:numId w:val="29"/>
        </w:numPr>
        <w:rPr>
          <w:rFonts w:ascii="Arial" w:hAnsi="Arial" w:cs="Arial"/>
          <w:sz w:val="22"/>
          <w:szCs w:val="22"/>
        </w:rPr>
      </w:pPr>
      <w:r>
        <w:rPr>
          <w:rFonts w:ascii="Arial" w:hAnsi="Arial" w:cs="Arial"/>
          <w:sz w:val="22"/>
          <w:szCs w:val="22"/>
        </w:rPr>
        <w:t xml:space="preserve">prejudice related ridicule or name calling </w:t>
      </w:r>
    </w:p>
    <w:p>
      <w:pPr>
        <w:pStyle w:val="Default"/>
        <w:numPr>
          <w:ilvl w:val="1"/>
          <w:numId w:val="29"/>
        </w:numPr>
        <w:rPr>
          <w:rFonts w:ascii="Arial" w:hAnsi="Arial" w:cs="Arial"/>
          <w:sz w:val="22"/>
          <w:szCs w:val="22"/>
        </w:rPr>
      </w:pPr>
      <w:r>
        <w:rPr>
          <w:rFonts w:ascii="Arial" w:hAnsi="Arial" w:cs="Arial"/>
          <w:sz w:val="22"/>
          <w:szCs w:val="22"/>
        </w:rPr>
        <w:t xml:space="preserve">inappropriate forms of address </w:t>
      </w:r>
    </w:p>
    <w:p>
      <w:pPr>
        <w:pStyle w:val="Default"/>
        <w:numPr>
          <w:ilvl w:val="1"/>
          <w:numId w:val="29"/>
        </w:numPr>
        <w:rPr>
          <w:rFonts w:ascii="Arial" w:hAnsi="Arial" w:cs="Arial"/>
          <w:sz w:val="22"/>
          <w:szCs w:val="22"/>
        </w:rPr>
      </w:pPr>
      <w:r>
        <w:rPr>
          <w:rFonts w:ascii="Arial" w:hAnsi="Arial" w:cs="Arial"/>
          <w:sz w:val="22"/>
          <w:szCs w:val="22"/>
        </w:rPr>
        <w:t xml:space="preserve">refusal to co-operate </w:t>
      </w:r>
    </w:p>
    <w:p>
      <w:pPr>
        <w:pStyle w:val="Default"/>
        <w:numPr>
          <w:ilvl w:val="1"/>
          <w:numId w:val="29"/>
        </w:numPr>
        <w:rPr>
          <w:rFonts w:ascii="Arial" w:hAnsi="Arial" w:cs="Arial"/>
          <w:sz w:val="22"/>
          <w:szCs w:val="22"/>
        </w:rPr>
      </w:pPr>
      <w:r>
        <w:rPr>
          <w:rFonts w:ascii="Arial" w:hAnsi="Arial" w:cs="Arial"/>
          <w:sz w:val="22"/>
          <w:szCs w:val="22"/>
        </w:rPr>
        <w:t xml:space="preserve">attempts to recruit to prejudice-related organisations </w:t>
      </w:r>
    </w:p>
    <w:p>
      <w:pPr>
        <w:pStyle w:val="Default"/>
        <w:numPr>
          <w:ilvl w:val="1"/>
          <w:numId w:val="29"/>
        </w:numPr>
        <w:rPr>
          <w:rFonts w:ascii="Arial" w:hAnsi="Arial" w:cs="Arial"/>
          <w:sz w:val="22"/>
          <w:szCs w:val="22"/>
        </w:rPr>
      </w:pPr>
      <w:proofErr w:type="gramStart"/>
      <w:r>
        <w:rPr>
          <w:rFonts w:ascii="Arial" w:hAnsi="Arial" w:cs="Arial"/>
          <w:sz w:val="22"/>
          <w:szCs w:val="22"/>
        </w:rPr>
        <w:t>condoning</w:t>
      </w:r>
      <w:proofErr w:type="gramEnd"/>
      <w:r>
        <w:rPr>
          <w:rFonts w:ascii="Arial" w:hAnsi="Arial" w:cs="Arial"/>
          <w:sz w:val="22"/>
          <w:szCs w:val="22"/>
        </w:rPr>
        <w:t xml:space="preserve"> or supporting violence towards others. </w:t>
      </w:r>
    </w:p>
    <w:p>
      <w:pPr>
        <w:rPr>
          <w:sz w:val="22"/>
          <w:szCs w:val="22"/>
        </w:rPr>
      </w:pPr>
    </w:p>
    <w:p>
      <w:pPr>
        <w:rPr>
          <w:sz w:val="22"/>
          <w:szCs w:val="22"/>
        </w:rPr>
      </w:pPr>
    </w:p>
    <w:p>
      <w:pPr>
        <w:rPr>
          <w:b/>
          <w:sz w:val="22"/>
          <w:szCs w:val="22"/>
        </w:rPr>
      </w:pPr>
      <w:r>
        <w:rPr>
          <w:b/>
          <w:sz w:val="22"/>
          <w:szCs w:val="22"/>
        </w:rPr>
        <w:t>Purpose of the Policy</w:t>
      </w:r>
    </w:p>
    <w:p>
      <w:pPr>
        <w:pStyle w:val="NormalWeb"/>
        <w:rPr>
          <w:rFonts w:ascii="Arial" w:hAnsi="Arial" w:cs="Arial"/>
          <w:sz w:val="22"/>
          <w:szCs w:val="22"/>
          <w:lang w:eastAsia="en-GB"/>
        </w:rPr>
      </w:pPr>
      <w:r>
        <w:rPr>
          <w:rFonts w:ascii="Arial" w:hAnsi="Arial" w:cs="Arial"/>
          <w:sz w:val="22"/>
          <w:szCs w:val="22"/>
          <w:lang w:eastAsia="en-GB"/>
        </w:rPr>
        <w:t>The purpose of this Policy is to provide staff with a clear and reliable framework to enable them to identify and report concerns surrounding staff and other members of the public, if they have concerns regarding potential radicalisation. It</w:t>
      </w:r>
      <w:r>
        <w:rPr>
          <w:rFonts w:ascii="Arial" w:hAnsi="Arial" w:cs="Arial"/>
          <w:sz w:val="22"/>
          <w:szCs w:val="22"/>
        </w:rPr>
        <w:t xml:space="preserve"> is designed to provide a clear framework to structure and inform our response to safeguarding concerns for those young people who may be vulnerable to the messages of extremism </w:t>
      </w:r>
    </w:p>
    <w:p>
      <w:pPr>
        <w:rPr>
          <w:b/>
          <w:sz w:val="22"/>
          <w:szCs w:val="22"/>
        </w:rPr>
      </w:pPr>
      <w:r>
        <w:rPr>
          <w:b/>
          <w:sz w:val="22"/>
          <w:szCs w:val="22"/>
        </w:rPr>
        <w:lastRenderedPageBreak/>
        <w:t>The policy forms part of this Safeguarding and Child Protection Policy and reference should also be made to:</w:t>
      </w:r>
    </w:p>
    <w:p>
      <w:pPr>
        <w:rPr>
          <w:b/>
          <w:sz w:val="22"/>
          <w:szCs w:val="22"/>
        </w:rPr>
      </w:pPr>
    </w:p>
    <w:p>
      <w:pPr>
        <w:pStyle w:val="ListParagraph"/>
        <w:numPr>
          <w:ilvl w:val="0"/>
          <w:numId w:val="32"/>
        </w:numPr>
        <w:rPr>
          <w:sz w:val="22"/>
          <w:szCs w:val="22"/>
        </w:rPr>
      </w:pPr>
      <w:r>
        <w:rPr>
          <w:sz w:val="22"/>
          <w:szCs w:val="22"/>
        </w:rPr>
        <w:t>Equality and Diversity Policy</w:t>
      </w:r>
    </w:p>
    <w:p>
      <w:pPr>
        <w:pStyle w:val="ListParagraph"/>
        <w:numPr>
          <w:ilvl w:val="0"/>
          <w:numId w:val="32"/>
        </w:numPr>
        <w:rPr>
          <w:sz w:val="22"/>
          <w:szCs w:val="22"/>
        </w:rPr>
      </w:pPr>
      <w:r>
        <w:rPr>
          <w:sz w:val="22"/>
          <w:szCs w:val="22"/>
        </w:rPr>
        <w:t>Attendance Policy</w:t>
      </w:r>
    </w:p>
    <w:p>
      <w:pPr>
        <w:pStyle w:val="ListParagraph"/>
        <w:numPr>
          <w:ilvl w:val="0"/>
          <w:numId w:val="32"/>
        </w:numPr>
        <w:rPr>
          <w:sz w:val="22"/>
          <w:szCs w:val="22"/>
        </w:rPr>
      </w:pPr>
      <w:r>
        <w:rPr>
          <w:sz w:val="22"/>
          <w:szCs w:val="22"/>
        </w:rPr>
        <w:t>Anti-bullying and Harassment of Students Policy</w:t>
      </w:r>
    </w:p>
    <w:p>
      <w:pPr>
        <w:pStyle w:val="ListParagraph"/>
        <w:numPr>
          <w:ilvl w:val="0"/>
          <w:numId w:val="32"/>
        </w:numPr>
        <w:rPr>
          <w:sz w:val="22"/>
          <w:szCs w:val="22"/>
        </w:rPr>
      </w:pPr>
      <w:r>
        <w:rPr>
          <w:sz w:val="22"/>
          <w:szCs w:val="22"/>
        </w:rPr>
        <w:t>Behaviour Policy</w:t>
      </w:r>
    </w:p>
    <w:p>
      <w:pPr>
        <w:pStyle w:val="ListParagraph"/>
        <w:numPr>
          <w:ilvl w:val="0"/>
          <w:numId w:val="32"/>
        </w:numPr>
        <w:rPr>
          <w:sz w:val="22"/>
          <w:szCs w:val="22"/>
        </w:rPr>
      </w:pPr>
      <w:r>
        <w:rPr>
          <w:sz w:val="22"/>
          <w:szCs w:val="22"/>
        </w:rPr>
        <w:t>E Safety</w:t>
      </w:r>
    </w:p>
    <w:p>
      <w:pPr>
        <w:pStyle w:val="ListParagraph"/>
        <w:numPr>
          <w:ilvl w:val="0"/>
          <w:numId w:val="32"/>
        </w:numPr>
        <w:rPr>
          <w:sz w:val="22"/>
          <w:szCs w:val="22"/>
        </w:rPr>
      </w:pPr>
      <w:r>
        <w:rPr>
          <w:sz w:val="22"/>
          <w:szCs w:val="22"/>
        </w:rPr>
        <w:t>Behaviours in Action Document</w:t>
      </w:r>
    </w:p>
    <w:p>
      <w:pPr>
        <w:pStyle w:val="ListParagraph"/>
        <w:numPr>
          <w:ilvl w:val="0"/>
          <w:numId w:val="32"/>
        </w:numPr>
        <w:rPr>
          <w:sz w:val="22"/>
          <w:szCs w:val="22"/>
        </w:rPr>
      </w:pPr>
      <w:r>
        <w:rPr>
          <w:sz w:val="22"/>
          <w:szCs w:val="22"/>
        </w:rPr>
        <w:t>Acceptable User Policy</w:t>
      </w:r>
    </w:p>
    <w:p>
      <w:pPr>
        <w:pStyle w:val="ListParagraph"/>
        <w:numPr>
          <w:ilvl w:val="0"/>
          <w:numId w:val="32"/>
        </w:numPr>
        <w:rPr>
          <w:sz w:val="22"/>
          <w:szCs w:val="22"/>
        </w:rPr>
      </w:pPr>
      <w:r>
        <w:rPr>
          <w:sz w:val="22"/>
          <w:szCs w:val="22"/>
        </w:rPr>
        <w:t xml:space="preserve">LCSB </w:t>
      </w:r>
    </w:p>
    <w:p>
      <w:pPr>
        <w:pStyle w:val="ListParagraph"/>
        <w:numPr>
          <w:ilvl w:val="0"/>
          <w:numId w:val="32"/>
        </w:numPr>
        <w:rPr>
          <w:sz w:val="22"/>
          <w:szCs w:val="22"/>
        </w:rPr>
      </w:pPr>
      <w:hyperlink r:id="rId44" w:history="1">
        <w:r>
          <w:rPr>
            <w:rStyle w:val="Hyperlink"/>
            <w:sz w:val="22"/>
            <w:szCs w:val="22"/>
          </w:rPr>
          <w:t>Prevent Duty Guidance July 2015</w:t>
        </w:r>
      </w:hyperlink>
    </w:p>
    <w:p>
      <w:pPr>
        <w:pStyle w:val="ListParagraph"/>
        <w:numPr>
          <w:ilvl w:val="0"/>
          <w:numId w:val="32"/>
        </w:numPr>
        <w:rPr>
          <w:sz w:val="22"/>
          <w:szCs w:val="22"/>
        </w:rPr>
      </w:pPr>
      <w:r>
        <w:rPr>
          <w:sz w:val="22"/>
          <w:szCs w:val="22"/>
        </w:rPr>
        <w:t>Keeping children safe in education 2018</w:t>
      </w:r>
    </w:p>
    <w:p>
      <w:pPr>
        <w:pStyle w:val="ListParagraph"/>
        <w:numPr>
          <w:ilvl w:val="0"/>
          <w:numId w:val="32"/>
        </w:numPr>
        <w:rPr>
          <w:sz w:val="22"/>
          <w:szCs w:val="22"/>
        </w:rPr>
      </w:pPr>
      <w:r>
        <w:rPr>
          <w:sz w:val="22"/>
          <w:szCs w:val="22"/>
        </w:rPr>
        <w:t>Working Together 2018</w:t>
      </w:r>
    </w:p>
    <w:p>
      <w:pPr>
        <w:pStyle w:val="ListParagraph"/>
        <w:ind w:left="1440"/>
        <w:rPr>
          <w:sz w:val="22"/>
          <w:szCs w:val="22"/>
        </w:rPr>
      </w:pPr>
    </w:p>
    <w:p>
      <w:pPr>
        <w:pStyle w:val="ListParagraph"/>
        <w:ind w:left="1440"/>
        <w:rPr>
          <w:sz w:val="22"/>
          <w:szCs w:val="22"/>
        </w:rPr>
      </w:pPr>
    </w:p>
    <w:p>
      <w:pPr>
        <w:autoSpaceDE w:val="0"/>
        <w:autoSpaceDN w:val="0"/>
        <w:adjustRightInd w:val="0"/>
        <w:ind w:left="142"/>
        <w:rPr>
          <w:b/>
          <w:sz w:val="22"/>
          <w:szCs w:val="22"/>
        </w:rPr>
      </w:pPr>
      <w:r>
        <w:rPr>
          <w:b/>
          <w:sz w:val="22"/>
          <w:szCs w:val="22"/>
        </w:rPr>
        <w:t>Designated Staff</w:t>
      </w:r>
    </w:p>
    <w:p>
      <w:pPr>
        <w:pStyle w:val="ListParagraph"/>
        <w:numPr>
          <w:ilvl w:val="0"/>
          <w:numId w:val="43"/>
        </w:numPr>
        <w:autoSpaceDE w:val="0"/>
        <w:autoSpaceDN w:val="0"/>
        <w:adjustRightInd w:val="0"/>
        <w:rPr>
          <w:sz w:val="22"/>
          <w:szCs w:val="22"/>
        </w:rPr>
      </w:pPr>
      <w:r>
        <w:rPr>
          <w:sz w:val="22"/>
          <w:szCs w:val="22"/>
        </w:rPr>
        <w:t>The Safeguarding Governor at UTC will also be the named person for issues in relation to radicalisation and extremism.</w:t>
      </w:r>
    </w:p>
    <w:p>
      <w:pPr>
        <w:pStyle w:val="ListParagraph"/>
        <w:numPr>
          <w:ilvl w:val="0"/>
          <w:numId w:val="43"/>
        </w:numPr>
        <w:autoSpaceDE w:val="0"/>
        <w:autoSpaceDN w:val="0"/>
        <w:adjustRightInd w:val="0"/>
        <w:rPr>
          <w:sz w:val="22"/>
          <w:szCs w:val="22"/>
        </w:rPr>
      </w:pPr>
      <w:r>
        <w:rPr>
          <w:sz w:val="22"/>
          <w:szCs w:val="22"/>
        </w:rPr>
        <w:t>The Governor, Principal and DSL will assess the level of risk within the college and action anything necessary to minimise the risk.</w:t>
      </w:r>
    </w:p>
    <w:p>
      <w:pPr>
        <w:pStyle w:val="ListParagraph"/>
        <w:numPr>
          <w:ilvl w:val="0"/>
          <w:numId w:val="43"/>
        </w:numPr>
        <w:autoSpaceDE w:val="0"/>
        <w:autoSpaceDN w:val="0"/>
        <w:adjustRightInd w:val="0"/>
        <w:rPr>
          <w:sz w:val="22"/>
          <w:szCs w:val="22"/>
        </w:rPr>
      </w:pPr>
      <w:r>
        <w:rPr>
          <w:sz w:val="22"/>
          <w:szCs w:val="22"/>
        </w:rPr>
        <w:t>The Designated Safeguarding Lead will be the Single Point of Contact (SPOC), as required by PREVENT, to lead safeguarding in relation to protecting students from radicalisation or extremism.</w:t>
      </w:r>
    </w:p>
    <w:p>
      <w:pPr>
        <w:autoSpaceDE w:val="0"/>
        <w:autoSpaceDN w:val="0"/>
        <w:adjustRightInd w:val="0"/>
        <w:ind w:left="142"/>
        <w:rPr>
          <w:sz w:val="22"/>
          <w:szCs w:val="22"/>
        </w:rPr>
      </w:pPr>
    </w:p>
    <w:p>
      <w:pPr>
        <w:autoSpaceDE w:val="0"/>
        <w:autoSpaceDN w:val="0"/>
        <w:adjustRightInd w:val="0"/>
        <w:ind w:left="142"/>
        <w:rPr>
          <w:b/>
          <w:sz w:val="22"/>
          <w:szCs w:val="22"/>
        </w:rPr>
      </w:pPr>
      <w:r>
        <w:rPr>
          <w:b/>
          <w:sz w:val="22"/>
          <w:szCs w:val="22"/>
        </w:rPr>
        <w:t>Procedures</w:t>
      </w:r>
    </w:p>
    <w:p>
      <w:pPr>
        <w:autoSpaceDE w:val="0"/>
        <w:autoSpaceDN w:val="0"/>
        <w:adjustRightInd w:val="0"/>
        <w:ind w:left="142"/>
        <w:rPr>
          <w:sz w:val="22"/>
          <w:szCs w:val="22"/>
        </w:rPr>
      </w:pPr>
      <w:r>
        <w:rPr>
          <w:sz w:val="22"/>
          <w:szCs w:val="22"/>
        </w:rPr>
        <w:t>Where any member of staff has concerns that a pupil may be at risk of radicalisation or extremism, they should report this in the first instance to the DSL, or DDSL in their absence.  Where UTC students display prejudicial behaviour or behave in a prejudicial way, this will be dealt with in line with the UTC Behaviour Policy and Behaviours in Action Document.  If this behaviour is thought to indicate risk of radicalisation, this should be reported to the DSL or DDSL as described above, who will follow the Channel Referral Process in SOP 5.</w:t>
      </w:r>
    </w:p>
    <w:p>
      <w:pPr>
        <w:ind w:left="142"/>
        <w:rPr>
          <w:sz w:val="22"/>
          <w:szCs w:val="22"/>
        </w:rPr>
      </w:pPr>
    </w:p>
    <w:p>
      <w:pPr>
        <w:ind w:left="142"/>
        <w:rPr>
          <w:sz w:val="22"/>
          <w:szCs w:val="22"/>
        </w:rPr>
      </w:pPr>
      <w:r>
        <w:rPr>
          <w:sz w:val="22"/>
          <w:szCs w:val="22"/>
        </w:rPr>
        <w:t>Where an allegation is made against a member of staff, this should be reported to the DSL, in accordance with SOP 3.  The DSL will ensure information is recorded appropriately and that the Principal is informed.  Any concerns regarding members of staff will be reported to the Local Authority Designated Officers (LADO) with a recommendation that the PREVENT team are informed.</w:t>
      </w:r>
    </w:p>
    <w:p>
      <w:pPr>
        <w:pStyle w:val="ListParagraph"/>
        <w:ind w:left="142"/>
        <w:rPr>
          <w:sz w:val="22"/>
          <w:szCs w:val="22"/>
        </w:rPr>
      </w:pPr>
    </w:p>
    <w:p>
      <w:pPr>
        <w:pStyle w:val="ListParagraph"/>
        <w:ind w:left="1440"/>
        <w:rPr>
          <w:sz w:val="22"/>
          <w:szCs w:val="22"/>
        </w:rPr>
      </w:pPr>
    </w:p>
    <w:p>
      <w:pPr>
        <w:rPr>
          <w:b/>
          <w:sz w:val="22"/>
          <w:szCs w:val="22"/>
        </w:rPr>
      </w:pPr>
      <w:r>
        <w:rPr>
          <w:b/>
          <w:sz w:val="22"/>
          <w:szCs w:val="22"/>
        </w:rPr>
        <w:t>The role of the curriculum</w:t>
      </w:r>
    </w:p>
    <w:p>
      <w:pPr>
        <w:pStyle w:val="ListParagraph"/>
        <w:numPr>
          <w:ilvl w:val="1"/>
          <w:numId w:val="24"/>
        </w:numPr>
        <w:autoSpaceDE w:val="0"/>
        <w:autoSpaceDN w:val="0"/>
        <w:adjustRightInd w:val="0"/>
        <w:rPr>
          <w:sz w:val="22"/>
          <w:szCs w:val="22"/>
        </w:rPr>
      </w:pPr>
      <w:r>
        <w:rPr>
          <w:sz w:val="22"/>
          <w:szCs w:val="22"/>
        </w:rPr>
        <w:t xml:space="preserve">Lincoln UTC places relationships at the heart of all it does and our core values expect respect, honesty, and kindness in all that we do and say. UTC values freedom of speech and the expression of beliefs and ideology as a fundamental right underpinning our society’s values.  However, this freedom comes with responsibility and free speech that manipulates the vulnerable or leads to violence and harm goes against the moral principles of valued free speech. Through The Life Guidance and Mentoring Programme, discussion is encouraged to promote the fundamental British values of democracy, the rule of law, individual liberty and mutual respect and tolerance for those with different faiths and beliefs.  </w:t>
      </w:r>
    </w:p>
    <w:p>
      <w:pPr>
        <w:pStyle w:val="ListParagraph"/>
        <w:numPr>
          <w:ilvl w:val="1"/>
          <w:numId w:val="24"/>
        </w:numPr>
        <w:rPr>
          <w:sz w:val="22"/>
          <w:szCs w:val="22"/>
        </w:rPr>
      </w:pPr>
      <w:r>
        <w:rPr>
          <w:sz w:val="22"/>
          <w:szCs w:val="22"/>
        </w:rPr>
        <w:t xml:space="preserve">UTC offers a broad and balanced curriculum that focuses on preparing students for life beyond their time at UTC.  Through teaching, activities and relationships we seek to nurture the social, moral, spiritual and cultural development of pupils. </w:t>
      </w:r>
    </w:p>
    <w:p>
      <w:pPr>
        <w:pStyle w:val="ListParagraph"/>
        <w:numPr>
          <w:ilvl w:val="1"/>
          <w:numId w:val="24"/>
        </w:numPr>
        <w:rPr>
          <w:b/>
          <w:sz w:val="22"/>
          <w:szCs w:val="22"/>
        </w:rPr>
      </w:pPr>
      <w:r>
        <w:rPr>
          <w:sz w:val="22"/>
          <w:szCs w:val="22"/>
        </w:rPr>
        <w:t xml:space="preserve">Students are taught how to stay safe using the Internet, are encouraged to consider the dangers it can present to their welfare and to use it responsibly.  All members of the UTC, staff and students must sign and adhere to the Acceptable Use Policy before being allowed access to any of the college Internet systems. Through </w:t>
      </w:r>
      <w:r>
        <w:rPr>
          <w:sz w:val="22"/>
          <w:szCs w:val="22"/>
        </w:rPr>
        <w:lastRenderedPageBreak/>
        <w:t>implementation of the E-safety policy and monitoring activity of the E-safety officer, students are allowed the freedom to use the Internet as a positive tool in their education. UTC has and will continue to develop a clear, progressive E-safety students are allowed the freedom to use the Internet as a positive tool in their education. UTC has and will continue to develop a clear, progressive E-safety education programme as part of the Computing curriculum and PSHE curriculum that covers a range of skills and behaviours appropriate to their age and experience based on national guidance and frameworks.</w:t>
      </w:r>
    </w:p>
    <w:p>
      <w:pPr>
        <w:pStyle w:val="ListParagraph"/>
        <w:ind w:left="1440"/>
        <w:rPr>
          <w:b/>
          <w:sz w:val="22"/>
          <w:szCs w:val="22"/>
        </w:rPr>
      </w:pPr>
      <w:r>
        <w:rPr>
          <w:b/>
          <w:sz w:val="22"/>
          <w:szCs w:val="22"/>
        </w:rPr>
        <w:t xml:space="preserve"> </w:t>
      </w:r>
    </w:p>
    <w:p>
      <w:pPr>
        <w:rPr>
          <w:b/>
          <w:sz w:val="22"/>
          <w:szCs w:val="22"/>
        </w:rPr>
      </w:pPr>
      <w:r>
        <w:rPr>
          <w:b/>
          <w:sz w:val="22"/>
          <w:szCs w:val="22"/>
        </w:rPr>
        <w:t>Staff Training</w:t>
      </w:r>
    </w:p>
    <w:p>
      <w:pPr>
        <w:pStyle w:val="ListParagraph"/>
        <w:numPr>
          <w:ilvl w:val="1"/>
          <w:numId w:val="24"/>
        </w:numPr>
        <w:rPr>
          <w:sz w:val="22"/>
          <w:szCs w:val="22"/>
        </w:rPr>
      </w:pPr>
      <w:r>
        <w:rPr>
          <w:sz w:val="22"/>
          <w:szCs w:val="22"/>
        </w:rPr>
        <w:t xml:space="preserve">All staff will receive, as part of the induction process, training, information and guidance from the E-safety Officer on the E-safety policy and the College Acceptable Use Policy.  UTC will ensure that all staff are aware how to send or receive information that may be sensitive in nature and the importance of understanding the requirements of Data Protection.  </w:t>
      </w:r>
    </w:p>
    <w:p>
      <w:pPr>
        <w:pStyle w:val="ListParagraph"/>
        <w:numPr>
          <w:ilvl w:val="1"/>
          <w:numId w:val="24"/>
        </w:numPr>
        <w:rPr>
          <w:sz w:val="22"/>
          <w:szCs w:val="22"/>
        </w:rPr>
      </w:pPr>
      <w:r>
        <w:rPr>
          <w:sz w:val="22"/>
          <w:szCs w:val="22"/>
        </w:rPr>
        <w:t>All staff will receive PREVENT training and updates via the CPD programme when necessary.</w:t>
      </w:r>
    </w:p>
    <w:p>
      <w:pPr>
        <w:pStyle w:val="ListParagraph"/>
        <w:numPr>
          <w:ilvl w:val="1"/>
          <w:numId w:val="24"/>
        </w:numPr>
        <w:rPr>
          <w:sz w:val="22"/>
          <w:szCs w:val="22"/>
        </w:rPr>
      </w:pPr>
      <w:r>
        <w:rPr>
          <w:sz w:val="22"/>
          <w:szCs w:val="22"/>
        </w:rPr>
        <w:t>The DSL will attend training updates and briefings, when available from LSCB and cascade this information on to all staff at the college via CPD.</w:t>
      </w:r>
    </w:p>
    <w:p>
      <w:pPr>
        <w:pStyle w:val="ListParagraph"/>
        <w:rPr>
          <w:sz w:val="22"/>
          <w:szCs w:val="22"/>
        </w:rPr>
      </w:pPr>
    </w:p>
    <w:p>
      <w:pPr>
        <w:rPr>
          <w:sz w:val="22"/>
          <w:szCs w:val="22"/>
        </w:rPr>
      </w:pPr>
    </w:p>
    <w:p>
      <w:pPr>
        <w:pStyle w:val="ListParagraph"/>
        <w:ind w:left="1440"/>
        <w:rPr>
          <w:sz w:val="22"/>
          <w:szCs w:val="22"/>
        </w:rPr>
      </w:pPr>
    </w:p>
    <w:p>
      <w:pPr>
        <w:pStyle w:val="ListParagraph"/>
        <w:ind w:left="1440"/>
        <w:rPr>
          <w:sz w:val="22"/>
          <w:szCs w:val="22"/>
        </w:rPr>
      </w:pPr>
    </w:p>
    <w:p>
      <w:pPr>
        <w:jc w:val="both"/>
        <w:rPr>
          <w:color w:val="000000"/>
          <w:sz w:val="22"/>
          <w:szCs w:val="22"/>
        </w:rPr>
      </w:pPr>
      <w:r>
        <w:rPr>
          <w:color w:val="000000"/>
          <w:sz w:val="22"/>
          <w:szCs w:val="22"/>
        </w:rPr>
        <w:br w:type="page"/>
      </w:r>
    </w:p>
    <w:p>
      <w:pPr>
        <w:autoSpaceDE w:val="0"/>
        <w:autoSpaceDN w:val="0"/>
        <w:adjustRightInd w:val="0"/>
        <w:rPr>
          <w:b/>
          <w:color w:val="000000"/>
          <w:sz w:val="22"/>
          <w:szCs w:val="22"/>
        </w:rPr>
      </w:pPr>
      <w:r>
        <w:rPr>
          <w:b/>
          <w:color w:val="000000"/>
          <w:sz w:val="22"/>
          <w:szCs w:val="22"/>
        </w:rPr>
        <w:lastRenderedPageBreak/>
        <w:t>11.  Appendices</w:t>
      </w:r>
    </w:p>
    <w:p>
      <w:pPr>
        <w:autoSpaceDE w:val="0"/>
        <w:autoSpaceDN w:val="0"/>
        <w:adjustRightInd w:val="0"/>
        <w:ind w:left="1418"/>
        <w:rPr>
          <w:b/>
          <w:bCs/>
          <w:color w:val="000000"/>
          <w:sz w:val="22"/>
          <w:szCs w:val="22"/>
        </w:rPr>
      </w:pPr>
    </w:p>
    <w:p>
      <w:pPr>
        <w:rPr>
          <w:b/>
          <w:sz w:val="22"/>
          <w:szCs w:val="22"/>
        </w:rPr>
      </w:pPr>
      <w:r>
        <w:rPr>
          <w:b/>
          <w:sz w:val="22"/>
          <w:szCs w:val="22"/>
        </w:rPr>
        <w:t>SG SOP 1:  Dealing with initial disclosure by a young person</w:t>
      </w:r>
    </w:p>
    <w:p>
      <w:pPr>
        <w:rPr>
          <w:b/>
          <w:sz w:val="22"/>
          <w:szCs w:val="22"/>
        </w:rPr>
      </w:pPr>
    </w:p>
    <w:p>
      <w:pPr>
        <w:rPr>
          <w:b/>
          <w:sz w:val="22"/>
          <w:szCs w:val="22"/>
        </w:rPr>
      </w:pPr>
      <w:r>
        <w:rPr>
          <w:b/>
          <w:sz w:val="22"/>
          <w:szCs w:val="22"/>
        </w:rPr>
        <w:t>Receiving Disclosures</w:t>
      </w:r>
    </w:p>
    <w:p>
      <w:pPr>
        <w:rPr>
          <w:sz w:val="22"/>
          <w:szCs w:val="22"/>
        </w:rPr>
      </w:pPr>
    </w:p>
    <w:p>
      <w:pPr>
        <w:pStyle w:val="PlainText"/>
        <w:jc w:val="both"/>
        <w:rPr>
          <w:rFonts w:ascii="Arial" w:hAnsi="Arial" w:cs="Arial"/>
          <w:sz w:val="22"/>
          <w:szCs w:val="22"/>
        </w:rPr>
      </w:pPr>
      <w:r>
        <w:rPr>
          <w:rFonts w:ascii="Arial" w:hAnsi="Arial" w:cs="Arial"/>
          <w:sz w:val="22"/>
          <w:szCs w:val="22"/>
        </w:rPr>
        <w:t>If a young person tells a member of staff about possible abuse, including about another student, you must:</w:t>
      </w:r>
    </w:p>
    <w:p>
      <w:pPr>
        <w:ind w:left="720"/>
        <w:jc w:val="both"/>
        <w:rPr>
          <w:sz w:val="22"/>
          <w:szCs w:val="22"/>
        </w:rPr>
      </w:pPr>
    </w:p>
    <w:p>
      <w:pPr>
        <w:pStyle w:val="ListParagraph"/>
        <w:numPr>
          <w:ilvl w:val="0"/>
          <w:numId w:val="46"/>
        </w:numPr>
        <w:jc w:val="both"/>
        <w:rPr>
          <w:sz w:val="22"/>
          <w:szCs w:val="22"/>
        </w:rPr>
      </w:pPr>
      <w:r>
        <w:rPr>
          <w:sz w:val="22"/>
          <w:szCs w:val="22"/>
        </w:rPr>
        <w:t>Listen carefully and stay calm – try not to look shocked or judgemental.</w:t>
      </w:r>
    </w:p>
    <w:p>
      <w:pPr>
        <w:pStyle w:val="ListParagraph"/>
        <w:numPr>
          <w:ilvl w:val="0"/>
          <w:numId w:val="46"/>
        </w:numPr>
        <w:jc w:val="both"/>
        <w:rPr>
          <w:sz w:val="22"/>
          <w:szCs w:val="22"/>
        </w:rPr>
      </w:pPr>
      <w:r>
        <w:rPr>
          <w:sz w:val="22"/>
          <w:szCs w:val="22"/>
        </w:rPr>
        <w:t>Believe what they say ‘take it seriously’ - accept what the young person says.</w:t>
      </w:r>
    </w:p>
    <w:p>
      <w:pPr>
        <w:pStyle w:val="ListParagraph"/>
        <w:numPr>
          <w:ilvl w:val="0"/>
          <w:numId w:val="46"/>
        </w:numPr>
        <w:jc w:val="both"/>
        <w:rPr>
          <w:sz w:val="22"/>
          <w:szCs w:val="22"/>
        </w:rPr>
      </w:pPr>
      <w:r>
        <w:rPr>
          <w:sz w:val="22"/>
          <w:szCs w:val="22"/>
        </w:rPr>
        <w:t>Not interview the young person, but talk to them in a calm and collected manner.  Try not to interrupt unless recapping key points to aid understanding of the issue.</w:t>
      </w:r>
    </w:p>
    <w:p>
      <w:pPr>
        <w:pStyle w:val="ListParagraph"/>
        <w:numPr>
          <w:ilvl w:val="0"/>
          <w:numId w:val="46"/>
        </w:numPr>
        <w:jc w:val="both"/>
        <w:rPr>
          <w:sz w:val="22"/>
          <w:szCs w:val="22"/>
        </w:rPr>
      </w:pPr>
      <w:r>
        <w:rPr>
          <w:sz w:val="22"/>
          <w:szCs w:val="22"/>
        </w:rPr>
        <w:t>Not put words into the young person’s mouth.</w:t>
      </w:r>
    </w:p>
    <w:p>
      <w:pPr>
        <w:pStyle w:val="ListParagraph"/>
        <w:numPr>
          <w:ilvl w:val="0"/>
          <w:numId w:val="46"/>
        </w:numPr>
        <w:jc w:val="both"/>
        <w:rPr>
          <w:sz w:val="22"/>
          <w:szCs w:val="22"/>
        </w:rPr>
      </w:pPr>
      <w:r>
        <w:rPr>
          <w:sz w:val="22"/>
          <w:szCs w:val="22"/>
        </w:rPr>
        <w:t>Reassure the young person that by telling you, they have done the right thing.</w:t>
      </w:r>
    </w:p>
    <w:p>
      <w:pPr>
        <w:pStyle w:val="ListParagraph"/>
        <w:numPr>
          <w:ilvl w:val="0"/>
          <w:numId w:val="46"/>
        </w:numPr>
        <w:jc w:val="both"/>
        <w:rPr>
          <w:sz w:val="22"/>
          <w:szCs w:val="22"/>
        </w:rPr>
      </w:pPr>
      <w:r>
        <w:rPr>
          <w:sz w:val="22"/>
          <w:szCs w:val="22"/>
        </w:rPr>
        <w:t>Reassure the young person that, although information must be shared, it will be on a need to know basis. Inform them that you will need to report the matter. Do not promise confidentiality.</w:t>
      </w:r>
    </w:p>
    <w:p>
      <w:pPr>
        <w:pStyle w:val="ListParagraph"/>
        <w:numPr>
          <w:ilvl w:val="0"/>
          <w:numId w:val="46"/>
        </w:numPr>
        <w:jc w:val="both"/>
        <w:rPr>
          <w:sz w:val="22"/>
          <w:szCs w:val="22"/>
        </w:rPr>
      </w:pPr>
      <w:r>
        <w:rPr>
          <w:sz w:val="22"/>
          <w:szCs w:val="22"/>
        </w:rPr>
        <w:t>Not criticise the alleged perpetrator.</w:t>
      </w:r>
    </w:p>
    <w:p>
      <w:pPr>
        <w:pStyle w:val="ListParagraph"/>
        <w:numPr>
          <w:ilvl w:val="0"/>
          <w:numId w:val="46"/>
        </w:numPr>
        <w:jc w:val="both"/>
        <w:rPr>
          <w:sz w:val="22"/>
          <w:szCs w:val="22"/>
        </w:rPr>
      </w:pPr>
      <w:r>
        <w:rPr>
          <w:sz w:val="22"/>
          <w:szCs w:val="22"/>
        </w:rPr>
        <w:t>Not take photographs of any injuries.</w:t>
      </w:r>
    </w:p>
    <w:p>
      <w:pPr>
        <w:pStyle w:val="ListParagraph"/>
        <w:numPr>
          <w:ilvl w:val="0"/>
          <w:numId w:val="46"/>
        </w:numPr>
        <w:jc w:val="both"/>
        <w:rPr>
          <w:sz w:val="22"/>
          <w:szCs w:val="22"/>
        </w:rPr>
      </w:pPr>
      <w:r>
        <w:rPr>
          <w:sz w:val="22"/>
          <w:szCs w:val="22"/>
        </w:rPr>
        <w:t>Keep the young person focussed on task, encouraging them at all times to ensure they are sharing truthful and accurate information.</w:t>
      </w:r>
    </w:p>
    <w:p>
      <w:pPr>
        <w:pStyle w:val="ListParagraph"/>
        <w:numPr>
          <w:ilvl w:val="0"/>
          <w:numId w:val="46"/>
        </w:numPr>
        <w:jc w:val="both"/>
        <w:rPr>
          <w:sz w:val="22"/>
          <w:szCs w:val="22"/>
        </w:rPr>
      </w:pPr>
      <w:r>
        <w:rPr>
          <w:sz w:val="22"/>
          <w:szCs w:val="22"/>
        </w:rPr>
        <w:t>Make a detailed note of the date, time, place, what the young person said, did, your questions and all the relevant information. Please sign and print your name at the bottom of the record.</w:t>
      </w:r>
    </w:p>
    <w:p>
      <w:pPr>
        <w:pStyle w:val="ListParagraph"/>
        <w:numPr>
          <w:ilvl w:val="0"/>
          <w:numId w:val="46"/>
        </w:numPr>
        <w:jc w:val="both"/>
        <w:rPr>
          <w:sz w:val="22"/>
          <w:szCs w:val="22"/>
        </w:rPr>
      </w:pPr>
      <w:r>
        <w:rPr>
          <w:sz w:val="22"/>
          <w:szCs w:val="22"/>
        </w:rPr>
        <w:t>Not ask leading questions – use open questions to clarify only (TED)</w:t>
      </w:r>
    </w:p>
    <w:p>
      <w:pPr>
        <w:rPr>
          <w:sz w:val="22"/>
          <w:szCs w:val="22"/>
        </w:rPr>
      </w:pPr>
    </w:p>
    <w:p>
      <w:pPr>
        <w:rPr>
          <w:sz w:val="22"/>
          <w:szCs w:val="22"/>
        </w:rPr>
      </w:pPr>
    </w:p>
    <w:p>
      <w:pPr>
        <w:rPr>
          <w:i/>
          <w:sz w:val="22"/>
          <w:szCs w:val="22"/>
        </w:rPr>
      </w:pPr>
      <w:r>
        <w:rPr>
          <w:i/>
          <w:sz w:val="22"/>
          <w:szCs w:val="22"/>
        </w:rPr>
        <w:t>Tell me what you mean by that</w:t>
      </w:r>
      <w:proofErr w:type="gramStart"/>
      <w:r>
        <w:rPr>
          <w:i/>
          <w:sz w:val="22"/>
          <w:szCs w:val="22"/>
        </w:rPr>
        <w:t>?/</w:t>
      </w:r>
      <w:proofErr w:type="gramEnd"/>
      <w:r>
        <w:rPr>
          <w:i/>
          <w:sz w:val="22"/>
          <w:szCs w:val="22"/>
        </w:rPr>
        <w:t xml:space="preserve"> Can you Tell me how that happened?</w:t>
      </w:r>
    </w:p>
    <w:p>
      <w:pPr>
        <w:rPr>
          <w:i/>
          <w:sz w:val="22"/>
          <w:szCs w:val="22"/>
        </w:rPr>
      </w:pPr>
    </w:p>
    <w:p>
      <w:pPr>
        <w:rPr>
          <w:i/>
          <w:sz w:val="22"/>
          <w:szCs w:val="22"/>
        </w:rPr>
      </w:pPr>
      <w:r>
        <w:rPr>
          <w:i/>
          <w:sz w:val="22"/>
          <w:szCs w:val="22"/>
        </w:rPr>
        <w:t>Explain that to me</w:t>
      </w:r>
    </w:p>
    <w:p>
      <w:pPr>
        <w:rPr>
          <w:i/>
          <w:sz w:val="22"/>
          <w:szCs w:val="22"/>
        </w:rPr>
      </w:pPr>
    </w:p>
    <w:p>
      <w:pPr>
        <w:rPr>
          <w:i/>
          <w:sz w:val="22"/>
          <w:szCs w:val="22"/>
        </w:rPr>
      </w:pPr>
      <w:r>
        <w:rPr>
          <w:i/>
          <w:sz w:val="22"/>
          <w:szCs w:val="22"/>
        </w:rPr>
        <w:t>Describe that….</w:t>
      </w:r>
    </w:p>
    <w:p>
      <w:pPr>
        <w:rPr>
          <w:sz w:val="22"/>
          <w:szCs w:val="22"/>
        </w:rPr>
      </w:pPr>
    </w:p>
    <w:p>
      <w:pPr>
        <w:ind w:left="1440"/>
        <w:jc w:val="both"/>
        <w:rPr>
          <w:sz w:val="22"/>
          <w:szCs w:val="22"/>
        </w:rPr>
      </w:pPr>
    </w:p>
    <w:p>
      <w:pPr>
        <w:jc w:val="both"/>
        <w:rPr>
          <w:sz w:val="22"/>
          <w:szCs w:val="22"/>
        </w:rPr>
      </w:pPr>
      <w:r>
        <w:rPr>
          <w:sz w:val="22"/>
          <w:szCs w:val="22"/>
        </w:rPr>
        <w:t xml:space="preserve">Staff should not investigate concerns or allegations themselves, but should report them immediately to the Designated Person. </w:t>
      </w:r>
    </w:p>
    <w:p>
      <w:pPr>
        <w:rPr>
          <w:sz w:val="22"/>
          <w:szCs w:val="22"/>
        </w:rPr>
      </w:pPr>
    </w:p>
    <w:p>
      <w:pPr>
        <w:rPr>
          <w:b/>
          <w:sz w:val="22"/>
          <w:szCs w:val="22"/>
        </w:rPr>
      </w:pPr>
      <w:r>
        <w:rPr>
          <w:b/>
          <w:sz w:val="22"/>
          <w:szCs w:val="22"/>
        </w:rPr>
        <w:t xml:space="preserve"> Reassure</w:t>
      </w:r>
    </w:p>
    <w:p>
      <w:pPr>
        <w:rPr>
          <w:b/>
          <w:sz w:val="22"/>
          <w:szCs w:val="22"/>
        </w:rPr>
      </w:pPr>
    </w:p>
    <w:p>
      <w:pPr>
        <w:rPr>
          <w:sz w:val="22"/>
          <w:szCs w:val="22"/>
        </w:rPr>
      </w:pPr>
      <w:r>
        <w:rPr>
          <w:sz w:val="22"/>
          <w:szCs w:val="22"/>
        </w:rPr>
        <w:t>•</w:t>
      </w:r>
      <w:r>
        <w:rPr>
          <w:sz w:val="22"/>
          <w:szCs w:val="22"/>
        </w:rPr>
        <w:tab/>
        <w:t>Stay calm, tell the young person they’ve done the right thing in telling you</w:t>
      </w:r>
    </w:p>
    <w:p>
      <w:pPr>
        <w:rPr>
          <w:sz w:val="22"/>
          <w:szCs w:val="22"/>
        </w:rPr>
      </w:pPr>
      <w:r>
        <w:rPr>
          <w:sz w:val="22"/>
          <w:szCs w:val="22"/>
        </w:rPr>
        <w:t>•</w:t>
      </w:r>
      <w:r>
        <w:rPr>
          <w:sz w:val="22"/>
          <w:szCs w:val="22"/>
        </w:rPr>
        <w:tab/>
        <w:t>Reassure them they are not to blame</w:t>
      </w:r>
    </w:p>
    <w:p>
      <w:pPr>
        <w:rPr>
          <w:sz w:val="22"/>
          <w:szCs w:val="22"/>
        </w:rPr>
      </w:pPr>
      <w:r>
        <w:rPr>
          <w:sz w:val="22"/>
          <w:szCs w:val="22"/>
        </w:rPr>
        <w:t>•</w:t>
      </w:r>
      <w:r>
        <w:rPr>
          <w:sz w:val="22"/>
          <w:szCs w:val="22"/>
        </w:rPr>
        <w:tab/>
        <w:t>Empathise – don’t tell them how they should be feeling</w:t>
      </w:r>
    </w:p>
    <w:p>
      <w:pPr>
        <w:rPr>
          <w:sz w:val="22"/>
          <w:szCs w:val="22"/>
        </w:rPr>
      </w:pPr>
      <w:r>
        <w:rPr>
          <w:sz w:val="22"/>
          <w:szCs w:val="22"/>
        </w:rPr>
        <w:t>•</w:t>
      </w:r>
      <w:r>
        <w:rPr>
          <w:sz w:val="22"/>
          <w:szCs w:val="22"/>
        </w:rPr>
        <w:tab/>
        <w:t>Don’t promise confidentiality, explain who needs to know</w:t>
      </w:r>
    </w:p>
    <w:p>
      <w:pPr>
        <w:rPr>
          <w:sz w:val="22"/>
          <w:szCs w:val="22"/>
        </w:rPr>
      </w:pPr>
      <w:r>
        <w:rPr>
          <w:sz w:val="22"/>
          <w:szCs w:val="22"/>
        </w:rPr>
        <w:t>•</w:t>
      </w:r>
      <w:r>
        <w:rPr>
          <w:sz w:val="22"/>
          <w:szCs w:val="22"/>
        </w:rPr>
        <w:tab/>
        <w:t>Explain what you’ll do next</w:t>
      </w:r>
    </w:p>
    <w:p>
      <w:pPr>
        <w:rPr>
          <w:sz w:val="22"/>
          <w:szCs w:val="22"/>
        </w:rPr>
      </w:pPr>
      <w:r>
        <w:rPr>
          <w:sz w:val="22"/>
          <w:szCs w:val="22"/>
        </w:rPr>
        <w:t>•</w:t>
      </w:r>
      <w:r>
        <w:rPr>
          <w:sz w:val="22"/>
          <w:szCs w:val="22"/>
        </w:rPr>
        <w:tab/>
        <w:t>Be honest about what you can do</w:t>
      </w:r>
    </w:p>
    <w:p>
      <w:pPr>
        <w:rPr>
          <w:sz w:val="22"/>
          <w:szCs w:val="22"/>
        </w:rPr>
      </w:pPr>
    </w:p>
    <w:p>
      <w:pPr>
        <w:rPr>
          <w:b/>
          <w:sz w:val="22"/>
          <w:szCs w:val="22"/>
        </w:rPr>
      </w:pPr>
    </w:p>
    <w:p>
      <w:pPr>
        <w:rPr>
          <w:b/>
          <w:sz w:val="22"/>
          <w:szCs w:val="22"/>
        </w:rPr>
      </w:pPr>
      <w:r>
        <w:rPr>
          <w:b/>
          <w:sz w:val="22"/>
          <w:szCs w:val="22"/>
        </w:rPr>
        <w:t>Report and Record</w:t>
      </w:r>
    </w:p>
    <w:p>
      <w:pPr>
        <w:rPr>
          <w:b/>
          <w:sz w:val="22"/>
          <w:szCs w:val="22"/>
        </w:rPr>
      </w:pPr>
    </w:p>
    <w:p>
      <w:pPr>
        <w:rPr>
          <w:sz w:val="22"/>
          <w:szCs w:val="22"/>
        </w:rPr>
      </w:pPr>
      <w:r>
        <w:rPr>
          <w:sz w:val="22"/>
          <w:szCs w:val="22"/>
        </w:rPr>
        <w:t>•</w:t>
      </w:r>
      <w:r>
        <w:rPr>
          <w:sz w:val="22"/>
          <w:szCs w:val="22"/>
        </w:rPr>
        <w:tab/>
        <w:t xml:space="preserve"> Make a Brief, accurate, timely and factual record</w:t>
      </w:r>
    </w:p>
    <w:p>
      <w:pPr>
        <w:rPr>
          <w:sz w:val="22"/>
          <w:szCs w:val="22"/>
        </w:rPr>
      </w:pPr>
      <w:r>
        <w:rPr>
          <w:sz w:val="22"/>
          <w:szCs w:val="22"/>
        </w:rPr>
        <w:t>•</w:t>
      </w:r>
      <w:r>
        <w:rPr>
          <w:sz w:val="22"/>
          <w:szCs w:val="22"/>
        </w:rPr>
        <w:tab/>
        <w:t xml:space="preserve"> Discuss verbally with the Designated Safeguarding Lead (DSL) or their Deputy, who        </w:t>
      </w:r>
      <w:r>
        <w:rPr>
          <w:sz w:val="22"/>
          <w:szCs w:val="22"/>
        </w:rPr>
        <w:br/>
        <w:t xml:space="preserve">             will help on deciding what to do next. The options include managing any support for </w:t>
      </w:r>
      <w:r>
        <w:rPr>
          <w:sz w:val="22"/>
          <w:szCs w:val="22"/>
        </w:rPr>
        <w:br/>
        <w:t xml:space="preserve">            the child internally via the school or college’s own pastoral support processes; an </w:t>
      </w:r>
      <w:r>
        <w:rPr>
          <w:sz w:val="22"/>
          <w:szCs w:val="22"/>
        </w:rPr>
        <w:br/>
        <w:t xml:space="preserve">            early help assessment; or a referral for statutory services, for example as the </w:t>
      </w:r>
      <w:r>
        <w:rPr>
          <w:sz w:val="22"/>
          <w:szCs w:val="22"/>
        </w:rPr>
        <w:br/>
        <w:t xml:space="preserve">            child is in need or suffering or likely to suffer harm</w:t>
      </w:r>
    </w:p>
    <w:p>
      <w:pPr>
        <w:rPr>
          <w:sz w:val="22"/>
          <w:szCs w:val="22"/>
        </w:rPr>
      </w:pPr>
      <w:r>
        <w:rPr>
          <w:sz w:val="22"/>
          <w:szCs w:val="22"/>
        </w:rPr>
        <w:t>•           Record details on CPOMS.</w:t>
      </w:r>
    </w:p>
    <w:p>
      <w:pPr>
        <w:rPr>
          <w:sz w:val="22"/>
          <w:szCs w:val="22"/>
        </w:rPr>
      </w:pPr>
      <w:r>
        <w:rPr>
          <w:sz w:val="22"/>
          <w:szCs w:val="22"/>
        </w:rPr>
        <w:br/>
        <w:t>Things to include:</w:t>
      </w:r>
    </w:p>
    <w:p>
      <w:pPr>
        <w:rPr>
          <w:sz w:val="22"/>
          <w:szCs w:val="22"/>
        </w:rPr>
      </w:pPr>
      <w:r>
        <w:rPr>
          <w:sz w:val="22"/>
          <w:szCs w:val="22"/>
        </w:rPr>
        <w:lastRenderedPageBreak/>
        <w:t>•</w:t>
      </w:r>
      <w:r>
        <w:rPr>
          <w:sz w:val="22"/>
          <w:szCs w:val="22"/>
        </w:rPr>
        <w:tab/>
        <w:t xml:space="preserve">Time and full date of disclosure/incident and the time and full date the record was </w:t>
      </w:r>
      <w:r>
        <w:rPr>
          <w:sz w:val="22"/>
          <w:szCs w:val="22"/>
        </w:rPr>
        <w:br/>
        <w:t xml:space="preserve">            made</w:t>
      </w:r>
    </w:p>
    <w:p>
      <w:pPr>
        <w:rPr>
          <w:sz w:val="22"/>
          <w:szCs w:val="22"/>
        </w:rPr>
      </w:pPr>
      <w:r>
        <w:rPr>
          <w:sz w:val="22"/>
          <w:szCs w:val="22"/>
        </w:rPr>
        <w:t>•</w:t>
      </w:r>
      <w:r>
        <w:rPr>
          <w:sz w:val="22"/>
          <w:szCs w:val="22"/>
        </w:rPr>
        <w:tab/>
        <w:t>An accurate record of what was said or seen</w:t>
      </w:r>
    </w:p>
    <w:p>
      <w:pPr>
        <w:rPr>
          <w:sz w:val="22"/>
          <w:szCs w:val="22"/>
        </w:rPr>
      </w:pPr>
      <w:r>
        <w:rPr>
          <w:sz w:val="22"/>
          <w:szCs w:val="22"/>
        </w:rPr>
        <w:t>•</w:t>
      </w:r>
      <w:r>
        <w:rPr>
          <w:sz w:val="22"/>
          <w:szCs w:val="22"/>
        </w:rPr>
        <w:tab/>
        <w:t>Whether it is 1st or 2nd hand information</w:t>
      </w:r>
    </w:p>
    <w:p>
      <w:pPr>
        <w:rPr>
          <w:sz w:val="22"/>
          <w:szCs w:val="22"/>
        </w:rPr>
      </w:pPr>
      <w:r>
        <w:rPr>
          <w:sz w:val="22"/>
          <w:szCs w:val="22"/>
        </w:rPr>
        <w:t>•</w:t>
      </w:r>
      <w:r>
        <w:rPr>
          <w:sz w:val="22"/>
          <w:szCs w:val="22"/>
        </w:rPr>
        <w:tab/>
        <w:t>Whether the child was seen/spoken to</w:t>
      </w:r>
    </w:p>
    <w:p>
      <w:pPr>
        <w:rPr>
          <w:sz w:val="22"/>
          <w:szCs w:val="22"/>
        </w:rPr>
      </w:pPr>
      <w:r>
        <w:rPr>
          <w:sz w:val="22"/>
          <w:szCs w:val="22"/>
        </w:rPr>
        <w:t>•</w:t>
      </w:r>
      <w:r>
        <w:rPr>
          <w:sz w:val="22"/>
          <w:szCs w:val="22"/>
        </w:rPr>
        <w:tab/>
        <w:t>Whether information is fact/ professional judgement</w:t>
      </w:r>
    </w:p>
    <w:p>
      <w:pPr>
        <w:rPr>
          <w:sz w:val="22"/>
          <w:szCs w:val="22"/>
        </w:rPr>
      </w:pPr>
      <w:r>
        <w:rPr>
          <w:sz w:val="22"/>
          <w:szCs w:val="22"/>
        </w:rPr>
        <w:t>•</w:t>
      </w:r>
      <w:r>
        <w:rPr>
          <w:sz w:val="22"/>
          <w:szCs w:val="22"/>
        </w:rPr>
        <w:tab/>
        <w:t xml:space="preserve">Full names and roles/status of anyone identified in the report </w:t>
      </w:r>
    </w:p>
    <w:p>
      <w:pPr>
        <w:rPr>
          <w:sz w:val="22"/>
          <w:szCs w:val="22"/>
        </w:rPr>
      </w:pPr>
      <w:r>
        <w:rPr>
          <w:sz w:val="22"/>
          <w:szCs w:val="22"/>
        </w:rPr>
        <w:t>•</w:t>
      </w:r>
      <w:r>
        <w:rPr>
          <w:sz w:val="22"/>
          <w:szCs w:val="22"/>
        </w:rPr>
        <w:tab/>
        <w:t>Avoid acronyms/jargon/abbreviations</w:t>
      </w:r>
    </w:p>
    <w:p>
      <w:pPr>
        <w:rPr>
          <w:sz w:val="22"/>
          <w:szCs w:val="22"/>
        </w:rPr>
      </w:pPr>
      <w:r>
        <w:rPr>
          <w:sz w:val="22"/>
          <w:szCs w:val="22"/>
        </w:rPr>
        <w:t>•</w:t>
      </w:r>
      <w:r>
        <w:rPr>
          <w:sz w:val="22"/>
          <w:szCs w:val="22"/>
        </w:rPr>
        <w:tab/>
        <w:t>Sign the record with a legible signature.</w:t>
      </w:r>
    </w:p>
    <w:p>
      <w:pPr>
        <w:rPr>
          <w:sz w:val="22"/>
          <w:szCs w:val="22"/>
        </w:rPr>
      </w:pPr>
      <w:r>
        <w:rPr>
          <w:sz w:val="22"/>
          <w:szCs w:val="22"/>
        </w:rPr>
        <w:t>•</w:t>
      </w:r>
      <w:r>
        <w:rPr>
          <w:sz w:val="22"/>
          <w:szCs w:val="22"/>
        </w:rPr>
        <w:tab/>
        <w:t xml:space="preserve">Record actions agreed with/by the Designated Lead </w:t>
      </w:r>
    </w:p>
    <w:p>
      <w:pPr>
        <w:rPr>
          <w:sz w:val="22"/>
          <w:szCs w:val="22"/>
        </w:rPr>
      </w:pPr>
      <w:r>
        <w:rPr>
          <w:sz w:val="22"/>
          <w:szCs w:val="22"/>
        </w:rPr>
        <w:t>Records should be reviewed regularly and any new concerns should be added and responded to immediately.</w:t>
      </w:r>
    </w:p>
    <w:p>
      <w:pPr>
        <w:rPr>
          <w:sz w:val="22"/>
          <w:szCs w:val="22"/>
        </w:rPr>
      </w:pPr>
    </w:p>
    <w:p>
      <w:pPr>
        <w:rPr>
          <w:sz w:val="22"/>
          <w:szCs w:val="22"/>
        </w:rPr>
      </w:pPr>
      <w:r>
        <w:rPr>
          <w:sz w:val="22"/>
          <w:szCs w:val="22"/>
        </w:rPr>
        <w:t>If in exceptional circumstances, the designated safeguarding lead (or deputy) is not available, this should not delay appropriate action being taken. Any concerns should then be taken to the principal.</w:t>
      </w:r>
    </w:p>
    <w:p>
      <w:pPr>
        <w:jc w:val="center"/>
        <w:rPr>
          <w:b/>
          <w:sz w:val="22"/>
          <w:szCs w:val="22"/>
        </w:rPr>
      </w:pPr>
    </w:p>
    <w:p>
      <w:pPr>
        <w:jc w:val="center"/>
        <w:rPr>
          <w:b/>
          <w:sz w:val="22"/>
          <w:szCs w:val="22"/>
        </w:rPr>
        <w:sectPr>
          <w:pgSz w:w="11900" w:h="16820"/>
          <w:pgMar w:top="720" w:right="1440" w:bottom="720" w:left="1440" w:header="706" w:footer="706" w:gutter="0"/>
          <w:cols w:space="708"/>
          <w:docGrid w:linePitch="360"/>
        </w:sectPr>
      </w:pPr>
    </w:p>
    <w:p>
      <w:pPr>
        <w:jc w:val="both"/>
        <w:rPr>
          <w:b/>
          <w:sz w:val="22"/>
          <w:szCs w:val="22"/>
        </w:rPr>
      </w:pPr>
    </w:p>
    <w:p>
      <w:pPr>
        <w:jc w:val="both"/>
        <w:rPr>
          <w:b/>
          <w:sz w:val="22"/>
          <w:szCs w:val="22"/>
        </w:rPr>
      </w:pPr>
      <w:r>
        <w:rPr>
          <w:b/>
          <w:sz w:val="22"/>
          <w:szCs w:val="22"/>
        </w:rPr>
        <w:t>SG SOP 2:  Raising concerns about a young person with the Designated Safeguarding Lead or Deputy Safeguarding Lead</w:t>
      </w:r>
    </w:p>
    <w:p>
      <w:pPr>
        <w:jc w:val="both"/>
        <w:rPr>
          <w:b/>
          <w:sz w:val="22"/>
          <w:szCs w:val="22"/>
        </w:rPr>
      </w:pPr>
    </w:p>
    <w:p>
      <w:pPr>
        <w:jc w:val="both"/>
        <w:rPr>
          <w:sz w:val="22"/>
          <w:szCs w:val="22"/>
        </w:rPr>
      </w:pPr>
      <w:r>
        <w:rPr>
          <w:sz w:val="22"/>
          <w:szCs w:val="22"/>
        </w:rPr>
        <w:t>The process and paperwork is illustrated at the end of this SOP and is detailed below:</w:t>
      </w:r>
    </w:p>
    <w:p>
      <w:pPr>
        <w:jc w:val="both"/>
        <w:rPr>
          <w:b/>
          <w:sz w:val="22"/>
          <w:szCs w:val="22"/>
        </w:rPr>
      </w:pPr>
    </w:p>
    <w:p>
      <w:pPr>
        <w:jc w:val="both"/>
        <w:rPr>
          <w:b/>
          <w:sz w:val="22"/>
          <w:szCs w:val="22"/>
        </w:rPr>
      </w:pPr>
      <w:r>
        <w:rPr>
          <w:b/>
          <w:sz w:val="22"/>
          <w:szCs w:val="22"/>
        </w:rPr>
        <w:t>STEP 1: Sharing/recording concerns</w:t>
      </w:r>
    </w:p>
    <w:p>
      <w:pPr>
        <w:jc w:val="both"/>
        <w:rPr>
          <w:sz w:val="22"/>
          <w:szCs w:val="22"/>
        </w:rPr>
      </w:pPr>
    </w:p>
    <w:p>
      <w:pPr>
        <w:jc w:val="both"/>
        <w:rPr>
          <w:sz w:val="22"/>
          <w:szCs w:val="22"/>
        </w:rPr>
      </w:pPr>
      <w:r>
        <w:rPr>
          <w:sz w:val="22"/>
          <w:szCs w:val="22"/>
        </w:rPr>
        <w:t xml:space="preserve">An individual with concerns about a young person shares these verbally with the Designated Safeguarding Lead, or in her absence the Deputy Designated Safeguarding Lead as soon as possible. The time, date and information supplied will be recorded on the </w:t>
      </w:r>
      <w:r>
        <w:rPr>
          <w:b/>
          <w:sz w:val="22"/>
          <w:szCs w:val="22"/>
        </w:rPr>
        <w:t>‘Verbal Notification of Concern to DSL/DDSL’</w:t>
      </w:r>
      <w:r>
        <w:rPr>
          <w:sz w:val="22"/>
          <w:szCs w:val="22"/>
        </w:rPr>
        <w:t>.</w:t>
      </w:r>
    </w:p>
    <w:p>
      <w:pPr>
        <w:jc w:val="both"/>
        <w:rPr>
          <w:sz w:val="22"/>
          <w:szCs w:val="22"/>
        </w:rPr>
      </w:pPr>
      <w:r>
        <w:rPr>
          <w:sz w:val="22"/>
          <w:szCs w:val="22"/>
        </w:rPr>
        <w:t>The details should then be recorded on CPOMS.  Any further information will be recorded in the young person’s confidential file.</w:t>
      </w:r>
    </w:p>
    <w:p>
      <w:pPr>
        <w:jc w:val="both"/>
        <w:rPr>
          <w:sz w:val="22"/>
          <w:szCs w:val="22"/>
        </w:rPr>
      </w:pPr>
    </w:p>
    <w:p>
      <w:pPr>
        <w:pStyle w:val="ListParagraph"/>
        <w:jc w:val="both"/>
        <w:rPr>
          <w:sz w:val="22"/>
          <w:szCs w:val="22"/>
        </w:rPr>
      </w:pPr>
    </w:p>
    <w:p>
      <w:pPr>
        <w:jc w:val="both"/>
        <w:rPr>
          <w:b/>
          <w:sz w:val="22"/>
          <w:szCs w:val="22"/>
        </w:rPr>
      </w:pPr>
      <w:r>
        <w:rPr>
          <w:b/>
          <w:sz w:val="22"/>
          <w:szCs w:val="22"/>
        </w:rPr>
        <w:t>STEP 2: Consideration</w:t>
      </w:r>
    </w:p>
    <w:p>
      <w:pPr>
        <w:pStyle w:val="ListParagraph"/>
        <w:jc w:val="both"/>
        <w:rPr>
          <w:sz w:val="22"/>
          <w:szCs w:val="22"/>
        </w:rPr>
      </w:pPr>
    </w:p>
    <w:p>
      <w:pPr>
        <w:jc w:val="both"/>
        <w:rPr>
          <w:sz w:val="22"/>
          <w:szCs w:val="22"/>
        </w:rPr>
      </w:pPr>
      <w:r>
        <w:rPr>
          <w:sz w:val="22"/>
          <w:szCs w:val="22"/>
        </w:rPr>
        <w:t>The Designated Safeguarding Lead, will take one or a number of the following steps:</w:t>
      </w:r>
    </w:p>
    <w:p>
      <w:pPr>
        <w:jc w:val="both"/>
        <w:rPr>
          <w:sz w:val="22"/>
          <w:szCs w:val="22"/>
        </w:rPr>
      </w:pPr>
    </w:p>
    <w:p>
      <w:pPr>
        <w:pStyle w:val="ListParagraph"/>
        <w:numPr>
          <w:ilvl w:val="0"/>
          <w:numId w:val="42"/>
        </w:numPr>
        <w:jc w:val="both"/>
        <w:rPr>
          <w:sz w:val="22"/>
          <w:szCs w:val="22"/>
        </w:rPr>
      </w:pPr>
      <w:r>
        <w:rPr>
          <w:sz w:val="22"/>
          <w:szCs w:val="22"/>
        </w:rPr>
        <w:t>Call LSCB and/or Children Services Customer Services for advice and guidance.</w:t>
      </w:r>
    </w:p>
    <w:p>
      <w:pPr>
        <w:pStyle w:val="ListParagraph"/>
        <w:numPr>
          <w:ilvl w:val="0"/>
          <w:numId w:val="42"/>
        </w:numPr>
        <w:jc w:val="both"/>
        <w:rPr>
          <w:sz w:val="22"/>
          <w:szCs w:val="22"/>
        </w:rPr>
      </w:pPr>
      <w:r>
        <w:rPr>
          <w:sz w:val="22"/>
          <w:szCs w:val="22"/>
        </w:rPr>
        <w:t>Complete an Early Help Assessment with parents’ consent.</w:t>
      </w:r>
    </w:p>
    <w:p>
      <w:pPr>
        <w:pStyle w:val="ListParagraph"/>
        <w:numPr>
          <w:ilvl w:val="0"/>
          <w:numId w:val="42"/>
        </w:numPr>
        <w:jc w:val="both"/>
        <w:rPr>
          <w:sz w:val="22"/>
          <w:szCs w:val="22"/>
        </w:rPr>
      </w:pPr>
      <w:r>
        <w:rPr>
          <w:sz w:val="22"/>
          <w:szCs w:val="22"/>
        </w:rPr>
        <w:t>Make a referral immediately to Children’s Social Care on 01522 782111</w:t>
      </w:r>
    </w:p>
    <w:p>
      <w:pPr>
        <w:jc w:val="both"/>
        <w:rPr>
          <w:sz w:val="22"/>
          <w:szCs w:val="22"/>
        </w:rPr>
      </w:pPr>
    </w:p>
    <w:p>
      <w:pPr>
        <w:jc w:val="both"/>
        <w:rPr>
          <w:sz w:val="22"/>
          <w:szCs w:val="22"/>
        </w:rPr>
      </w:pPr>
      <w:r>
        <w:rPr>
          <w:sz w:val="22"/>
          <w:szCs w:val="22"/>
        </w:rPr>
        <w:t xml:space="preserve"> If the concern raised does not involve immediate risk of significant harm, after step 1 above (if necessary), then Step 2 will be considered if parents’ consent to initiate the ‘Team Around the Child’ process and relevant paperwork sent to the TAC administrators. Written records of all subsequent meetings and further /new information will be recorded.</w:t>
      </w:r>
    </w:p>
    <w:p>
      <w:pPr>
        <w:jc w:val="both"/>
        <w:rPr>
          <w:sz w:val="22"/>
          <w:szCs w:val="22"/>
        </w:rPr>
      </w:pPr>
    </w:p>
    <w:p>
      <w:pPr>
        <w:jc w:val="both"/>
        <w:rPr>
          <w:sz w:val="22"/>
          <w:szCs w:val="22"/>
        </w:rPr>
      </w:pPr>
      <w:r>
        <w:rPr>
          <w:sz w:val="22"/>
          <w:szCs w:val="22"/>
        </w:rPr>
        <w:t>If the concern raised does involve risk of immediate significant harm, then the DSL will follow step 3 (with or without Step 1):</w:t>
      </w:r>
    </w:p>
    <w:p>
      <w:pPr>
        <w:pStyle w:val="ListParagraph"/>
        <w:jc w:val="both"/>
        <w:rPr>
          <w:sz w:val="22"/>
          <w:szCs w:val="22"/>
        </w:rPr>
      </w:pPr>
    </w:p>
    <w:p>
      <w:pPr>
        <w:ind w:left="1418"/>
        <w:jc w:val="both"/>
        <w:rPr>
          <w:b/>
          <w:sz w:val="22"/>
          <w:szCs w:val="22"/>
        </w:rPr>
      </w:pPr>
    </w:p>
    <w:p>
      <w:pPr>
        <w:jc w:val="both"/>
        <w:rPr>
          <w:b/>
          <w:sz w:val="22"/>
          <w:szCs w:val="22"/>
        </w:rPr>
      </w:pPr>
      <w:r>
        <w:rPr>
          <w:b/>
          <w:sz w:val="22"/>
          <w:szCs w:val="22"/>
        </w:rPr>
        <w:t>STEP 3: Children’s social care consideration</w:t>
      </w:r>
    </w:p>
    <w:p>
      <w:pPr>
        <w:jc w:val="both"/>
        <w:rPr>
          <w:sz w:val="22"/>
          <w:szCs w:val="22"/>
        </w:rPr>
      </w:pPr>
    </w:p>
    <w:p>
      <w:pPr>
        <w:jc w:val="both"/>
        <w:rPr>
          <w:sz w:val="22"/>
          <w:szCs w:val="22"/>
        </w:rPr>
      </w:pPr>
      <w:r>
        <w:rPr>
          <w:sz w:val="22"/>
          <w:szCs w:val="22"/>
        </w:rPr>
        <w:t>Children’s Social Care services should decide within one working day what action will be taken, including if an assessment is needed, and feedback to the referrer.</w:t>
      </w:r>
    </w:p>
    <w:p>
      <w:pPr>
        <w:pStyle w:val="ListParagraph"/>
        <w:jc w:val="both"/>
        <w:rPr>
          <w:sz w:val="22"/>
          <w:szCs w:val="22"/>
        </w:rPr>
      </w:pPr>
    </w:p>
    <w:p>
      <w:pPr>
        <w:jc w:val="both"/>
        <w:rPr>
          <w:b/>
          <w:sz w:val="22"/>
          <w:szCs w:val="22"/>
        </w:rPr>
      </w:pPr>
      <w:r>
        <w:rPr>
          <w:b/>
          <w:sz w:val="22"/>
          <w:szCs w:val="22"/>
        </w:rPr>
        <w:t>STEP 3a: Assessment</w:t>
      </w:r>
    </w:p>
    <w:p>
      <w:pPr>
        <w:ind w:firstLine="720"/>
        <w:jc w:val="both"/>
        <w:rPr>
          <w:sz w:val="22"/>
          <w:szCs w:val="22"/>
        </w:rPr>
      </w:pPr>
    </w:p>
    <w:p>
      <w:pPr>
        <w:jc w:val="both"/>
        <w:rPr>
          <w:sz w:val="22"/>
          <w:szCs w:val="22"/>
        </w:rPr>
      </w:pPr>
      <w:r>
        <w:rPr>
          <w:sz w:val="22"/>
          <w:szCs w:val="22"/>
        </w:rPr>
        <w:t xml:space="preserve">Children’s Social Care services complete the assessment within 45 working days of the referral. College allows local authorities access to facilitate arrangements. </w:t>
      </w:r>
    </w:p>
    <w:p>
      <w:pPr>
        <w:jc w:val="both"/>
        <w:rPr>
          <w:sz w:val="22"/>
          <w:szCs w:val="22"/>
        </w:rPr>
      </w:pPr>
    </w:p>
    <w:p>
      <w:pPr>
        <w:jc w:val="both"/>
        <w:rPr>
          <w:b/>
          <w:sz w:val="22"/>
          <w:szCs w:val="22"/>
        </w:rPr>
      </w:pPr>
      <w:r>
        <w:rPr>
          <w:b/>
          <w:sz w:val="22"/>
          <w:szCs w:val="22"/>
        </w:rPr>
        <w:t>STEP 3b: No assessment</w:t>
      </w:r>
    </w:p>
    <w:p>
      <w:pPr>
        <w:ind w:firstLine="720"/>
        <w:jc w:val="both"/>
        <w:rPr>
          <w:sz w:val="22"/>
          <w:szCs w:val="22"/>
        </w:rPr>
      </w:pPr>
    </w:p>
    <w:p>
      <w:pPr>
        <w:jc w:val="both"/>
        <w:rPr>
          <w:sz w:val="22"/>
          <w:szCs w:val="22"/>
        </w:rPr>
      </w:pPr>
      <w:r>
        <w:rPr>
          <w:sz w:val="22"/>
          <w:szCs w:val="22"/>
        </w:rPr>
        <w:t xml:space="preserve">An early help assessment may be recommended and/or onward referral to other specialist or universal services; children’s social care will feed back to the referrer. </w:t>
      </w:r>
    </w:p>
    <w:p>
      <w:pPr>
        <w:jc w:val="both"/>
        <w:rPr>
          <w:sz w:val="22"/>
          <w:szCs w:val="22"/>
        </w:rPr>
      </w:pPr>
    </w:p>
    <w:p>
      <w:pPr>
        <w:jc w:val="both"/>
        <w:rPr>
          <w:sz w:val="22"/>
          <w:szCs w:val="22"/>
        </w:rPr>
      </w:pPr>
      <w:r>
        <w:rPr>
          <w:sz w:val="22"/>
          <w:szCs w:val="22"/>
        </w:rPr>
        <w:t>In the case of both Step 2 and 3 above, any paperwork will indicate any previous history know to Lincoln UTC i.e. Previous Social Care involvement, Early Help Assessments, or other external agencies involvement with the young person or their family.</w:t>
      </w:r>
    </w:p>
    <w:p>
      <w:pPr>
        <w:jc w:val="both"/>
        <w:rPr>
          <w:sz w:val="22"/>
          <w:szCs w:val="22"/>
        </w:rPr>
      </w:pPr>
    </w:p>
    <w:p>
      <w:pPr>
        <w:pStyle w:val="ListParagraph"/>
        <w:jc w:val="both"/>
        <w:rPr>
          <w:sz w:val="22"/>
          <w:szCs w:val="22"/>
        </w:rPr>
      </w:pPr>
    </w:p>
    <w:p>
      <w:pPr>
        <w:jc w:val="both"/>
        <w:rPr>
          <w:b/>
          <w:sz w:val="22"/>
          <w:szCs w:val="22"/>
        </w:rPr>
      </w:pPr>
      <w:r>
        <w:rPr>
          <w:b/>
          <w:sz w:val="22"/>
          <w:szCs w:val="22"/>
        </w:rPr>
        <w:t>IF THE SITUATION DOES NOT SEEM TO BE IMPROVING THE REFERRER SHOULD PRESS FOR RE-CONSIDERATION.</w:t>
      </w:r>
    </w:p>
    <w:p>
      <w:pPr>
        <w:jc w:val="both"/>
        <w:rPr>
          <w:b/>
          <w:bCs/>
          <w:color w:val="000000"/>
          <w:sz w:val="22"/>
          <w:szCs w:val="22"/>
        </w:rPr>
        <w:sectPr>
          <w:pgSz w:w="11900" w:h="16820"/>
          <w:pgMar w:top="720" w:right="1440" w:bottom="720" w:left="1440" w:header="706" w:footer="706" w:gutter="0"/>
          <w:cols w:space="708"/>
          <w:docGrid w:linePitch="360"/>
        </w:sectPr>
      </w:pPr>
      <w:r>
        <w:rPr>
          <w:b/>
          <w:sz w:val="22"/>
          <w:szCs w:val="22"/>
        </w:rPr>
        <w:br/>
        <w:t xml:space="preserve">Remember: </w:t>
      </w:r>
      <w:r>
        <w:rPr>
          <w:b/>
          <w:bCs/>
          <w:color w:val="000000"/>
          <w:sz w:val="22"/>
          <w:szCs w:val="22"/>
        </w:rPr>
        <w:t>Anybody may raise concerns directly with Children’s Social Care services.</w:t>
      </w:r>
    </w:p>
    <w:p>
      <w:pPr>
        <w:jc w:val="both"/>
        <w:rPr>
          <w:b/>
          <w:bCs/>
          <w:color w:val="000000"/>
          <w:sz w:val="22"/>
          <w:szCs w:val="22"/>
          <w:u w:val="single"/>
        </w:rPr>
      </w:pPr>
      <w:r>
        <w:rPr>
          <w:b/>
          <w:bCs/>
          <w:color w:val="000000"/>
          <w:sz w:val="22"/>
          <w:szCs w:val="22"/>
          <w:u w:val="single"/>
        </w:rPr>
        <w:lastRenderedPageBreak/>
        <w:t>Flowchart of action to take if concerned about a young person</w:t>
      </w:r>
    </w:p>
    <w:p>
      <w:pPr>
        <w:rPr>
          <w:b/>
          <w:sz w:val="22"/>
          <w:szCs w:val="22"/>
          <w:u w:val="single"/>
        </w:rPr>
      </w:pPr>
    </w:p>
    <w:p>
      <w:pPr>
        <w:jc w:val="center"/>
        <w:rPr>
          <w:b/>
          <w:sz w:val="22"/>
          <w:szCs w:val="22"/>
          <w:u w:val="single"/>
        </w:rPr>
        <w:sectPr>
          <w:pgSz w:w="16820" w:h="11900" w:orient="landscape"/>
          <w:pgMar w:top="1440" w:right="720" w:bottom="1440" w:left="720" w:header="706" w:footer="706" w:gutter="0"/>
          <w:cols w:space="708"/>
          <w:docGrid w:linePitch="360"/>
        </w:sectPr>
      </w:pPr>
      <w:r>
        <w:rPr>
          <w:b/>
          <w:sz w:val="22"/>
          <w:szCs w:val="22"/>
          <w:u w:val="single"/>
        </w:rPr>
        <w:object w:dxaOrig="13704" w:dyaOrig="5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7pt;height:284.8pt" o:ole="">
            <v:imagedata r:id="rId45" o:title=""/>
          </v:shape>
          <o:OLEObject Type="Embed" ProgID="OrgPlusWOPX.4" ShapeID="_x0000_i1025" DrawAspect="Content" ObjectID="_1617687592" r:id="rId46"/>
        </w:object>
      </w:r>
    </w:p>
    <w:p>
      <w:pPr>
        <w:pStyle w:val="PlainText"/>
        <w:jc w:val="both"/>
        <w:rPr>
          <w:rFonts w:ascii="Arial" w:hAnsi="Arial" w:cs="Arial"/>
          <w:b/>
          <w:sz w:val="22"/>
          <w:szCs w:val="22"/>
        </w:rPr>
      </w:pPr>
      <w:r>
        <w:rPr>
          <w:rFonts w:ascii="Arial" w:hAnsi="Arial" w:cs="Arial"/>
          <w:b/>
          <w:sz w:val="22"/>
          <w:szCs w:val="22"/>
        </w:rPr>
        <w:lastRenderedPageBreak/>
        <w:t>Levels of need</w:t>
      </w:r>
    </w:p>
    <w:p>
      <w:pPr>
        <w:pStyle w:val="PlainText"/>
        <w:jc w:val="both"/>
        <w:rPr>
          <w:rFonts w:ascii="Arial" w:hAnsi="Arial" w:cs="Arial"/>
          <w:b/>
          <w:sz w:val="22"/>
          <w:szCs w:val="22"/>
        </w:rPr>
      </w:pPr>
    </w:p>
    <w:p>
      <w:pPr>
        <w:pStyle w:val="PlainText"/>
        <w:jc w:val="both"/>
        <w:rPr>
          <w:rFonts w:ascii="Arial" w:hAnsi="Arial" w:cs="Arial"/>
          <w:b/>
          <w:sz w:val="22"/>
          <w:szCs w:val="22"/>
        </w:rPr>
      </w:pPr>
      <w:r>
        <w:rPr>
          <w:rFonts w:ascii="Arial" w:hAnsi="Arial" w:cs="Arial"/>
          <w:noProof/>
          <w:sz w:val="22"/>
          <w:szCs w:val="22"/>
        </w:rPr>
        <w:drawing>
          <wp:inline distT="0" distB="0" distL="0" distR="0">
            <wp:extent cx="6645910" cy="3655060"/>
            <wp:effectExtent l="0" t="0" r="2540" b="2540"/>
            <wp:docPr id="32771"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4845B86-3C4F-401A-A211-05AD061D35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Picture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4845B86-3C4F-401A-A211-05AD061D3507}"/>
                        </a:ext>
                      </a:extLst>
                    </pic:cNvPr>
                    <pic:cNvPicPr>
                      <a:picLocks noGrp="1" noChangeAspect="1" noChangeArrowheads="1"/>
                    </pic:cNvPicPr>
                  </pic:nvPicPr>
                  <pic:blipFill>
                    <a:blip r:embed="rId47">
                      <a:extLst>
                        <a:ext uri="{28A0092B-C50C-407E-A947-70E740481C1C}">
                          <a14:useLocalDpi xmlns:a14="http://schemas.microsoft.com/office/drawing/2010/main" val="0"/>
                        </a:ext>
                      </a:extLst>
                    </a:blip>
                    <a:srcRect l="1572" r="1572"/>
                    <a:stretch>
                      <a:fillRect/>
                    </a:stretch>
                  </pic:blipFill>
                  <pic:spPr bwMode="auto">
                    <a:xfrm>
                      <a:off x="0" y="0"/>
                      <a:ext cx="6645910" cy="365506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pPr>
        <w:pStyle w:val="PlainText"/>
        <w:jc w:val="both"/>
        <w:rPr>
          <w:rFonts w:ascii="Arial" w:hAnsi="Arial" w:cs="Arial"/>
          <w:b/>
          <w:sz w:val="22"/>
          <w:szCs w:val="22"/>
        </w:rPr>
      </w:pPr>
    </w:p>
    <w:p>
      <w:pPr>
        <w:jc w:val="both"/>
        <w:rPr>
          <w:sz w:val="22"/>
          <w:szCs w:val="22"/>
        </w:rPr>
      </w:pPr>
      <w:r>
        <w:rPr>
          <w:sz w:val="22"/>
          <w:szCs w:val="22"/>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pPr>
        <w:jc w:val="both"/>
        <w:rPr>
          <w:sz w:val="22"/>
          <w:szCs w:val="22"/>
        </w:rPr>
      </w:pPr>
    </w:p>
    <w:p>
      <w:pPr>
        <w:pStyle w:val="PlainText"/>
        <w:jc w:val="both"/>
        <w:rPr>
          <w:rFonts w:ascii="Arial" w:hAnsi="Arial" w:cs="Arial"/>
          <w:sz w:val="22"/>
          <w:szCs w:val="22"/>
        </w:rPr>
      </w:pPr>
      <w:r>
        <w:rPr>
          <w:rFonts w:ascii="Arial" w:hAnsi="Arial" w:cs="Arial"/>
          <w:sz w:val="22"/>
          <w:szCs w:val="22"/>
        </w:rPr>
        <w:t xml:space="preserve">Children with </w:t>
      </w:r>
      <w:r>
        <w:rPr>
          <w:rFonts w:ascii="Arial" w:hAnsi="Arial" w:cs="Arial"/>
          <w:b/>
          <w:sz w:val="22"/>
          <w:szCs w:val="22"/>
        </w:rPr>
        <w:t xml:space="preserve">Additional </w:t>
      </w:r>
      <w:r>
        <w:rPr>
          <w:rFonts w:ascii="Arial" w:hAnsi="Arial" w:cs="Arial"/>
          <w:sz w:val="22"/>
          <w:szCs w:val="22"/>
        </w:rPr>
        <w:t>needs are best supported by those who already work with them, such as Family Hubs or schools, organising additional support with local partners as needed. When an agency is supporting these children, an Early Help Plan and a Lead Professional are helpful to share information and co-ordinate work alongside the child and family. Staff may be required to support other agencies and professionals in an early help assessment, in some cases acting as the lead professional. Any such cases should be kept under constant review and consideration given to a referral to children’s social care for assessment for statutory services if the child’s situation does not appear to be improving or is getting worse.</w:t>
      </w:r>
    </w:p>
    <w:p>
      <w:pPr>
        <w:pStyle w:val="PlainText"/>
        <w:jc w:val="both"/>
        <w:rPr>
          <w:rFonts w:ascii="Arial" w:hAnsi="Arial" w:cs="Arial"/>
          <w:b/>
          <w:sz w:val="22"/>
          <w:szCs w:val="22"/>
        </w:rPr>
      </w:pPr>
    </w:p>
    <w:p>
      <w:pPr>
        <w:jc w:val="both"/>
        <w:rPr>
          <w:sz w:val="22"/>
          <w:szCs w:val="22"/>
        </w:rPr>
      </w:pPr>
      <w:r>
        <w:rPr>
          <w:sz w:val="22"/>
          <w:szCs w:val="22"/>
        </w:rPr>
        <w:t xml:space="preserve">For children whose needs are </w:t>
      </w:r>
      <w:r>
        <w:rPr>
          <w:b/>
          <w:sz w:val="22"/>
          <w:szCs w:val="22"/>
        </w:rPr>
        <w:t>Specialist</w:t>
      </w:r>
      <w:r>
        <w:rPr>
          <w:sz w:val="22"/>
          <w:szCs w:val="22"/>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pPr>
        <w:jc w:val="both"/>
        <w:rPr>
          <w:sz w:val="22"/>
          <w:szCs w:val="22"/>
        </w:rPr>
      </w:pPr>
    </w:p>
    <w:p>
      <w:pPr>
        <w:jc w:val="both"/>
        <w:rPr>
          <w:sz w:val="22"/>
          <w:szCs w:val="22"/>
        </w:rPr>
      </w:pPr>
      <w:r>
        <w:rPr>
          <w:b/>
          <w:sz w:val="22"/>
          <w:szCs w:val="22"/>
        </w:rPr>
        <w:t>Immediate safeguarding</w:t>
      </w:r>
      <w:r>
        <w:rPr>
          <w:sz w:val="22"/>
          <w:szCs w:val="22"/>
        </w:rPr>
        <w:t xml:space="preserve"> services are where the needs of the child are so great that statutory and/or specialist intervention is required to keep them safe or to ensure their continued development. Examples of specialist services are Children’s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p>
    <w:p>
      <w:pPr>
        <w:pStyle w:val="PlainText"/>
        <w:jc w:val="both"/>
        <w:rPr>
          <w:rFonts w:ascii="Arial" w:hAnsi="Arial" w:cs="Arial"/>
          <w:b/>
          <w:sz w:val="22"/>
          <w:szCs w:val="22"/>
        </w:rPr>
      </w:pPr>
    </w:p>
    <w:p>
      <w:pPr>
        <w:pStyle w:val="PlainText"/>
        <w:jc w:val="both"/>
        <w:rPr>
          <w:rFonts w:ascii="Arial" w:hAnsi="Arial" w:cs="Arial"/>
          <w:b/>
          <w:sz w:val="22"/>
          <w:szCs w:val="22"/>
        </w:rPr>
      </w:pPr>
    </w:p>
    <w:p>
      <w:pPr>
        <w:pStyle w:val="PlainText"/>
        <w:jc w:val="both"/>
        <w:rPr>
          <w:rFonts w:ascii="Arial" w:hAnsi="Arial" w:cs="Arial"/>
          <w:b/>
          <w:sz w:val="22"/>
          <w:szCs w:val="22"/>
        </w:rPr>
      </w:pPr>
    </w:p>
    <w:p>
      <w:pPr>
        <w:pStyle w:val="PlainText"/>
        <w:jc w:val="both"/>
        <w:rPr>
          <w:rFonts w:ascii="Arial" w:hAnsi="Arial" w:cs="Arial"/>
          <w:b/>
          <w:sz w:val="22"/>
          <w:szCs w:val="22"/>
        </w:rPr>
      </w:pPr>
    </w:p>
    <w:p>
      <w:pPr>
        <w:pStyle w:val="PlainText"/>
        <w:jc w:val="both"/>
        <w:rPr>
          <w:rFonts w:ascii="Arial" w:hAnsi="Arial" w:cs="Arial"/>
          <w:b/>
          <w:sz w:val="22"/>
          <w:szCs w:val="22"/>
        </w:rPr>
      </w:pPr>
    </w:p>
    <w:p>
      <w:pPr>
        <w:pStyle w:val="PlainText"/>
        <w:jc w:val="both"/>
        <w:rPr>
          <w:rFonts w:ascii="Arial" w:hAnsi="Arial" w:cs="Arial"/>
          <w:b/>
          <w:sz w:val="22"/>
          <w:szCs w:val="22"/>
        </w:rPr>
      </w:pPr>
    </w:p>
    <w:p>
      <w:pPr>
        <w:pStyle w:val="PlainText"/>
        <w:jc w:val="both"/>
        <w:rPr>
          <w:rFonts w:ascii="Arial" w:hAnsi="Arial" w:cs="Arial"/>
          <w:b/>
          <w:sz w:val="22"/>
          <w:szCs w:val="22"/>
        </w:rPr>
      </w:pPr>
      <w:r>
        <w:rPr>
          <w:rFonts w:ascii="Arial" w:hAnsi="Arial" w:cs="Arial"/>
          <w:b/>
          <w:sz w:val="22"/>
          <w:szCs w:val="22"/>
        </w:rPr>
        <w:lastRenderedPageBreak/>
        <w:t>SG SOP 3:  Referral to Designated Safeguarding Lead for allegations of abuse against a member of staff or volunteer</w:t>
      </w:r>
    </w:p>
    <w:p>
      <w:pPr>
        <w:pStyle w:val="PlainText"/>
        <w:jc w:val="both"/>
        <w:rPr>
          <w:rFonts w:ascii="Arial" w:hAnsi="Arial" w:cs="Arial"/>
          <w:b/>
          <w:sz w:val="22"/>
          <w:szCs w:val="22"/>
        </w:rPr>
      </w:pPr>
    </w:p>
    <w:p>
      <w:pPr>
        <w:pStyle w:val="ListParagraph"/>
        <w:jc w:val="both"/>
        <w:rPr>
          <w:b/>
          <w:sz w:val="22"/>
          <w:szCs w:val="22"/>
        </w:rPr>
      </w:pPr>
    </w:p>
    <w:p>
      <w:pPr>
        <w:pStyle w:val="PlainText"/>
        <w:jc w:val="both"/>
        <w:rPr>
          <w:rFonts w:ascii="Arial" w:hAnsi="Arial" w:cs="Arial"/>
          <w:sz w:val="22"/>
          <w:szCs w:val="22"/>
        </w:rPr>
      </w:pPr>
      <w:r>
        <w:rPr>
          <w:rFonts w:ascii="Arial" w:hAnsi="Arial" w:cs="Arial"/>
          <w:sz w:val="22"/>
          <w:szCs w:val="22"/>
        </w:rPr>
        <w:t>In the event of the complaint being made by a young person against an employee of the UTC the disclosure must be shared with the Designated Safeguarding Lead or the Principal as described in Section 9 of the Safeguarding and Child Protection Policy.</w:t>
      </w:r>
    </w:p>
    <w:p>
      <w:pPr>
        <w:pStyle w:val="PlainText"/>
        <w:jc w:val="both"/>
        <w:rPr>
          <w:rFonts w:ascii="Arial" w:hAnsi="Arial" w:cs="Arial"/>
          <w:sz w:val="22"/>
          <w:szCs w:val="22"/>
        </w:rPr>
      </w:pPr>
    </w:p>
    <w:p>
      <w:pPr>
        <w:pStyle w:val="PlainText"/>
        <w:jc w:val="both"/>
        <w:rPr>
          <w:rFonts w:ascii="Arial" w:hAnsi="Arial" w:cs="Arial"/>
          <w:sz w:val="22"/>
          <w:szCs w:val="22"/>
        </w:rPr>
      </w:pPr>
      <w:r>
        <w:rPr>
          <w:rFonts w:ascii="Arial" w:hAnsi="Arial" w:cs="Arial"/>
          <w:sz w:val="22"/>
          <w:szCs w:val="22"/>
        </w:rPr>
        <w:t>Any allegation or complaint will then be dealt with in accordance with the Disciplinary Policy and Procedure, Appendix 2:  Allegations of abuse against teachers and other staff</w:t>
      </w:r>
    </w:p>
    <w:p>
      <w:pPr>
        <w:pStyle w:val="PlainText"/>
        <w:jc w:val="both"/>
        <w:rPr>
          <w:rFonts w:ascii="Arial" w:hAnsi="Arial" w:cs="Arial"/>
          <w:sz w:val="22"/>
          <w:szCs w:val="22"/>
        </w:rPr>
      </w:pPr>
    </w:p>
    <w:p>
      <w:pPr>
        <w:pStyle w:val="PlainText"/>
        <w:jc w:val="both"/>
        <w:rPr>
          <w:rFonts w:ascii="Arial" w:hAnsi="Arial" w:cs="Arial"/>
          <w:sz w:val="22"/>
          <w:szCs w:val="22"/>
        </w:rPr>
      </w:pPr>
    </w:p>
    <w:p>
      <w:pPr>
        <w:pStyle w:val="PlainText"/>
        <w:jc w:val="both"/>
        <w:rPr>
          <w:rFonts w:ascii="Arial" w:hAnsi="Arial" w:cs="Arial"/>
          <w:sz w:val="22"/>
          <w:szCs w:val="22"/>
        </w:rPr>
      </w:pPr>
    </w:p>
    <w:p>
      <w:pPr>
        <w:pStyle w:val="PlainText"/>
        <w:jc w:val="both"/>
        <w:rPr>
          <w:rFonts w:ascii="Arial" w:hAnsi="Arial" w:cs="Arial"/>
          <w:sz w:val="22"/>
          <w:szCs w:val="22"/>
        </w:rPr>
      </w:pPr>
    </w:p>
    <w:p>
      <w:pPr>
        <w:pStyle w:val="PlainText"/>
        <w:jc w:val="both"/>
        <w:rPr>
          <w:rFonts w:ascii="Arial" w:hAnsi="Arial" w:cs="Arial"/>
          <w:b/>
          <w:sz w:val="22"/>
          <w:szCs w:val="22"/>
        </w:rPr>
      </w:pPr>
      <w:r>
        <w:rPr>
          <w:rFonts w:ascii="Arial" w:hAnsi="Arial" w:cs="Arial"/>
          <w:b/>
          <w:sz w:val="22"/>
          <w:szCs w:val="22"/>
        </w:rPr>
        <w:t>SG SOP 4:  Referral to Designated Safeguarding Lead for allegations of abuse against another student</w:t>
      </w:r>
    </w:p>
    <w:p>
      <w:pPr>
        <w:pStyle w:val="ListParagraph"/>
        <w:jc w:val="both"/>
        <w:rPr>
          <w:b/>
          <w:sz w:val="22"/>
          <w:szCs w:val="22"/>
        </w:rPr>
      </w:pPr>
    </w:p>
    <w:p>
      <w:pPr>
        <w:pStyle w:val="PlainText"/>
        <w:tabs>
          <w:tab w:val="left" w:pos="1440"/>
          <w:tab w:val="left" w:pos="2160"/>
        </w:tabs>
        <w:ind w:left="1440"/>
        <w:jc w:val="both"/>
        <w:rPr>
          <w:rFonts w:ascii="Arial" w:hAnsi="Arial" w:cs="Arial"/>
          <w:b/>
          <w:sz w:val="22"/>
          <w:szCs w:val="22"/>
        </w:rPr>
      </w:pPr>
    </w:p>
    <w:p>
      <w:pPr>
        <w:pStyle w:val="PlainText"/>
        <w:jc w:val="both"/>
        <w:rPr>
          <w:rFonts w:ascii="Arial" w:hAnsi="Arial" w:cs="Arial"/>
          <w:sz w:val="22"/>
          <w:szCs w:val="22"/>
        </w:rPr>
      </w:pPr>
      <w:r>
        <w:rPr>
          <w:rFonts w:ascii="Arial" w:hAnsi="Arial" w:cs="Arial"/>
          <w:sz w:val="22"/>
          <w:szCs w:val="22"/>
        </w:rPr>
        <w:t>In the event of the complaint being made by a young person against another student the disclosure must be shared with the Designated Safeguarding Lead or the Principal as described in Section 9 of the Safeguarding and Child Protection Policy and SG SOP 2.</w:t>
      </w:r>
    </w:p>
    <w:p>
      <w:pPr>
        <w:pStyle w:val="PlainText"/>
        <w:jc w:val="both"/>
        <w:rPr>
          <w:rFonts w:ascii="Arial" w:hAnsi="Arial" w:cs="Arial"/>
          <w:sz w:val="22"/>
          <w:szCs w:val="22"/>
        </w:rPr>
        <w:sectPr>
          <w:headerReference w:type="default" r:id="rId48"/>
          <w:footerReference w:type="default" r:id="rId49"/>
          <w:pgSz w:w="11906" w:h="16838" w:code="9"/>
          <w:pgMar w:top="1152" w:right="720" w:bottom="720" w:left="720" w:header="706" w:footer="720" w:gutter="0"/>
          <w:cols w:space="708"/>
          <w:docGrid w:linePitch="360"/>
        </w:sectPr>
      </w:pPr>
    </w:p>
    <w:p>
      <w:pPr>
        <w:tabs>
          <w:tab w:val="left" w:pos="1880"/>
        </w:tabs>
        <w:rPr>
          <w:sz w:val="22"/>
          <w:szCs w:val="22"/>
        </w:rPr>
      </w:pPr>
      <w:r>
        <w:rPr>
          <w:sz w:val="22"/>
          <w:szCs w:val="22"/>
        </w:rPr>
        <w:lastRenderedPageBreak/>
        <w:tab/>
      </w:r>
    </w:p>
    <w:p>
      <w:pPr>
        <w:shd w:val="clear" w:color="auto" w:fill="FFFFFF"/>
        <w:spacing w:before="75"/>
        <w:rPr>
          <w:b/>
          <w:sz w:val="22"/>
          <w:szCs w:val="22"/>
          <w:lang w:val="en"/>
        </w:rPr>
      </w:pPr>
      <w:r>
        <w:rPr>
          <w:b/>
          <w:sz w:val="22"/>
          <w:szCs w:val="22"/>
        </w:rPr>
        <w:t>SG SOP 5: Procedures for Referrals under the PREVENT AGENDA</w:t>
      </w:r>
    </w:p>
    <w:p>
      <w:pPr>
        <w:shd w:val="clear" w:color="auto" w:fill="FFFFFF"/>
        <w:spacing w:before="75"/>
        <w:rPr>
          <w:sz w:val="22"/>
          <w:szCs w:val="22"/>
          <w:lang w:val="en"/>
        </w:rPr>
      </w:pPr>
    </w:p>
    <w:p>
      <w:pPr>
        <w:shd w:val="clear" w:color="auto" w:fill="FFFFFF"/>
        <w:spacing w:before="75"/>
        <w:rPr>
          <w:sz w:val="22"/>
          <w:szCs w:val="22"/>
          <w:lang w:val="en"/>
        </w:rPr>
      </w:pPr>
      <w:r>
        <w:rPr>
          <w:sz w:val="22"/>
          <w:szCs w:val="22"/>
          <w:lang w:val="en"/>
        </w:rPr>
        <w:t xml:space="preserve">The UTC will follow the safeguarding processes in the first instance (SOP 2).  If the DSL, through completing an Early Help Assessment with the young person and family, considers the young person to be at risk of </w:t>
      </w:r>
      <w:proofErr w:type="spellStart"/>
      <w:r>
        <w:rPr>
          <w:sz w:val="22"/>
          <w:szCs w:val="22"/>
          <w:lang w:val="en"/>
        </w:rPr>
        <w:t>radicalisation</w:t>
      </w:r>
      <w:proofErr w:type="spellEnd"/>
      <w:r>
        <w:rPr>
          <w:sz w:val="22"/>
          <w:szCs w:val="22"/>
          <w:lang w:val="en"/>
        </w:rPr>
        <w:t xml:space="preserve">, then a channel referral form will be completed. </w:t>
      </w:r>
    </w:p>
    <w:p>
      <w:pPr>
        <w:shd w:val="clear" w:color="auto" w:fill="FFFFFF"/>
        <w:spacing w:before="75"/>
        <w:rPr>
          <w:sz w:val="22"/>
          <w:szCs w:val="22"/>
          <w:lang w:val="en"/>
        </w:rPr>
      </w:pPr>
    </w:p>
    <w:p>
      <w:pPr>
        <w:shd w:val="clear" w:color="auto" w:fill="FFFFFF"/>
        <w:spacing w:before="75"/>
        <w:rPr>
          <w:sz w:val="22"/>
          <w:szCs w:val="22"/>
          <w:lang w:val="en"/>
        </w:rPr>
      </w:pPr>
      <w:r>
        <w:rPr>
          <w:sz w:val="22"/>
          <w:szCs w:val="22"/>
          <w:lang w:val="en"/>
        </w:rPr>
        <w:t xml:space="preserve">Early intervention is vital and any concerns, no matter how small must be referred to </w:t>
      </w:r>
      <w:r>
        <w:rPr>
          <w:b/>
          <w:sz w:val="22"/>
          <w:szCs w:val="22"/>
          <w:lang w:val="en"/>
        </w:rPr>
        <w:t xml:space="preserve">CHANNEL using the referral form overleaf or send an email to </w:t>
      </w:r>
      <w:hyperlink r:id="rId50" w:history="1">
        <w:r>
          <w:rPr>
            <w:b/>
            <w:bCs/>
            <w:color w:val="12003C"/>
            <w:sz w:val="22"/>
            <w:szCs w:val="22"/>
          </w:rPr>
          <w:t xml:space="preserve">channel@lincs.pnn.police.uk </w:t>
        </w:r>
      </w:hyperlink>
    </w:p>
    <w:p>
      <w:pPr>
        <w:shd w:val="clear" w:color="auto" w:fill="FFFFFF"/>
        <w:spacing w:before="75"/>
        <w:rPr>
          <w:sz w:val="22"/>
          <w:szCs w:val="22"/>
          <w:lang w:val="en"/>
        </w:rPr>
      </w:pPr>
    </w:p>
    <w:p>
      <w:pPr>
        <w:shd w:val="clear" w:color="auto" w:fill="FFFFFF"/>
        <w:spacing w:before="75"/>
        <w:rPr>
          <w:sz w:val="22"/>
          <w:szCs w:val="22"/>
          <w:lang w:val="en"/>
        </w:rPr>
      </w:pPr>
      <w:r>
        <w:rPr>
          <w:sz w:val="22"/>
          <w:szCs w:val="22"/>
          <w:lang w:val="en"/>
        </w:rPr>
        <w:t xml:space="preserve">CHANNEL is a key element of the Prevent strategy. It is a multi-agency approach to protect people at risk from </w:t>
      </w:r>
      <w:proofErr w:type="spellStart"/>
      <w:r>
        <w:rPr>
          <w:sz w:val="22"/>
          <w:szCs w:val="22"/>
          <w:lang w:val="en"/>
        </w:rPr>
        <w:t>radicalisation</w:t>
      </w:r>
      <w:proofErr w:type="spellEnd"/>
      <w:r>
        <w:rPr>
          <w:sz w:val="22"/>
          <w:szCs w:val="22"/>
          <w:lang w:val="en"/>
        </w:rPr>
        <w:t>. Channel uses existing collaboration between local authorities, statutory partners, the police and the local community to:</w:t>
      </w:r>
    </w:p>
    <w:p>
      <w:pPr>
        <w:pStyle w:val="ListParagraph"/>
        <w:numPr>
          <w:ilvl w:val="0"/>
          <w:numId w:val="25"/>
        </w:numPr>
        <w:shd w:val="clear" w:color="auto" w:fill="FFFFFF"/>
        <w:spacing w:before="100" w:beforeAutospacing="1"/>
        <w:ind w:right="150"/>
        <w:rPr>
          <w:sz w:val="22"/>
          <w:szCs w:val="22"/>
          <w:lang w:val="en"/>
        </w:rPr>
      </w:pPr>
      <w:proofErr w:type="gramStart"/>
      <w:r>
        <w:rPr>
          <w:sz w:val="22"/>
          <w:szCs w:val="22"/>
          <w:lang w:val="en"/>
        </w:rPr>
        <w:t>identify</w:t>
      </w:r>
      <w:proofErr w:type="gramEnd"/>
      <w:r>
        <w:rPr>
          <w:sz w:val="22"/>
          <w:szCs w:val="22"/>
          <w:lang w:val="en"/>
        </w:rPr>
        <w:t xml:space="preserve"> individuals at risk of being drawn into terrorism.</w:t>
      </w:r>
    </w:p>
    <w:p>
      <w:pPr>
        <w:pStyle w:val="ListParagraph"/>
        <w:numPr>
          <w:ilvl w:val="0"/>
          <w:numId w:val="25"/>
        </w:numPr>
        <w:shd w:val="clear" w:color="auto" w:fill="FFFFFF"/>
        <w:spacing w:before="100" w:beforeAutospacing="1"/>
        <w:ind w:right="150"/>
        <w:rPr>
          <w:sz w:val="22"/>
          <w:szCs w:val="22"/>
          <w:lang w:val="en"/>
        </w:rPr>
      </w:pPr>
      <w:r>
        <w:rPr>
          <w:sz w:val="22"/>
          <w:szCs w:val="22"/>
          <w:lang w:val="en"/>
        </w:rPr>
        <w:t>assess the nature and extent of that risk; and</w:t>
      </w:r>
    </w:p>
    <w:p>
      <w:pPr>
        <w:pStyle w:val="ListParagraph"/>
        <w:numPr>
          <w:ilvl w:val="0"/>
          <w:numId w:val="25"/>
        </w:numPr>
        <w:shd w:val="clear" w:color="auto" w:fill="FFFFFF"/>
        <w:spacing w:before="75" w:beforeAutospacing="1"/>
        <w:ind w:right="150"/>
        <w:rPr>
          <w:sz w:val="22"/>
          <w:szCs w:val="22"/>
          <w:lang w:val="en"/>
        </w:rPr>
      </w:pPr>
      <w:proofErr w:type="gramStart"/>
      <w:r>
        <w:rPr>
          <w:sz w:val="22"/>
          <w:szCs w:val="22"/>
          <w:lang w:val="en"/>
        </w:rPr>
        <w:t>develop</w:t>
      </w:r>
      <w:proofErr w:type="gramEnd"/>
      <w:r>
        <w:rPr>
          <w:sz w:val="22"/>
          <w:szCs w:val="22"/>
          <w:lang w:val="en"/>
        </w:rPr>
        <w:t xml:space="preserve"> the most appropriate support plan for the individuals concerned.</w:t>
      </w:r>
    </w:p>
    <w:p>
      <w:pPr>
        <w:shd w:val="clear" w:color="auto" w:fill="FFFFFF"/>
        <w:spacing w:before="100" w:beforeAutospacing="1"/>
        <w:ind w:right="150"/>
        <w:rPr>
          <w:sz w:val="22"/>
          <w:szCs w:val="22"/>
          <w:lang w:val="en"/>
        </w:rPr>
      </w:pPr>
      <w:r>
        <w:rPr>
          <w:sz w:val="22"/>
          <w:szCs w:val="22"/>
          <w:lang w:val="en"/>
        </w:rPr>
        <w:t>Channel is about safeguarding children and adults from being drawn into committing terrorist-related activity</w:t>
      </w:r>
      <w:r>
        <w:rPr>
          <w:b/>
          <w:bCs/>
          <w:sz w:val="22"/>
          <w:szCs w:val="22"/>
          <w:lang w:val="en"/>
        </w:rPr>
        <w:t>.</w:t>
      </w:r>
      <w:r>
        <w:rPr>
          <w:sz w:val="22"/>
          <w:szCs w:val="22"/>
          <w:lang w:val="en"/>
        </w:rPr>
        <w:t xml:space="preserve"> </w:t>
      </w:r>
      <w:r>
        <w:rPr>
          <w:bCs/>
          <w:sz w:val="22"/>
          <w:szCs w:val="22"/>
          <w:lang w:val="en"/>
        </w:rPr>
        <w:t>It is about early intervention to protect and divert people away from the risk they face before illegality occurs.</w:t>
      </w:r>
    </w:p>
    <w:p>
      <w:pPr>
        <w:shd w:val="clear" w:color="auto" w:fill="FFFFFF"/>
        <w:spacing w:before="75" w:beforeAutospacing="1"/>
        <w:ind w:right="150"/>
        <w:rPr>
          <w:sz w:val="22"/>
          <w:szCs w:val="22"/>
          <w:lang w:val="en"/>
        </w:rPr>
      </w:pPr>
      <w:r>
        <w:rPr>
          <w:b/>
          <w:bCs/>
          <w:sz w:val="22"/>
          <w:szCs w:val="22"/>
          <w:lang w:val="en"/>
        </w:rPr>
        <w:t>If we suspect a criminal offence has taken place or a child is at immediate harm we must contact the police on 101or in an emergency 999.</w:t>
      </w:r>
    </w:p>
    <w:p>
      <w:pPr>
        <w:shd w:val="clear" w:color="auto" w:fill="FFFFFF"/>
        <w:spacing w:before="75" w:beforeAutospacing="1"/>
        <w:ind w:right="150"/>
        <w:rPr>
          <w:bCs/>
          <w:sz w:val="22"/>
          <w:szCs w:val="22"/>
          <w:lang w:val="en"/>
        </w:rPr>
      </w:pPr>
      <w:r>
        <w:rPr>
          <w:bCs/>
          <w:sz w:val="22"/>
          <w:szCs w:val="22"/>
          <w:lang w:val="en"/>
        </w:rPr>
        <w:t>We will communicate with the investigating team to ensure they have the latest information and are liaising with the appropriate agencies.</w:t>
      </w:r>
    </w:p>
    <w:p>
      <w:pPr>
        <w:shd w:val="clear" w:color="auto" w:fill="FFFFFF"/>
        <w:ind w:left="900" w:right="150"/>
        <w:rPr>
          <w:bCs/>
          <w:sz w:val="22"/>
          <w:szCs w:val="22"/>
          <w:lang w:val="en"/>
        </w:rPr>
      </w:pPr>
    </w:p>
    <w:p>
      <w:pPr>
        <w:rPr>
          <w:b/>
          <w:sz w:val="22"/>
          <w:szCs w:val="22"/>
        </w:rPr>
      </w:pPr>
      <w:r>
        <w:rPr>
          <w:sz w:val="22"/>
          <w:szCs w:val="22"/>
        </w:rPr>
        <w:t>There is an individual member of the Governing Body who will champion issues to do with safeguarding and child protection within the UTC, liaise with the DSL and provide information and reports to the Governing Body.</w:t>
      </w:r>
    </w:p>
    <w:p>
      <w:pPr>
        <w:rPr>
          <w:b/>
          <w:sz w:val="22"/>
          <w:szCs w:val="22"/>
        </w:rPr>
      </w:pPr>
    </w:p>
    <w:p>
      <w:pPr>
        <w:rPr>
          <w:sz w:val="22"/>
          <w:szCs w:val="22"/>
        </w:rPr>
      </w:pPr>
    </w:p>
    <w:p>
      <w:pPr>
        <w:rPr>
          <w:b/>
          <w:sz w:val="22"/>
          <w:szCs w:val="22"/>
        </w:rPr>
      </w:pPr>
      <w:r>
        <w:rPr>
          <w:b/>
          <w:sz w:val="22"/>
          <w:szCs w:val="22"/>
        </w:rPr>
        <w:t>Useful resources, contacts and links:</w:t>
      </w:r>
    </w:p>
    <w:p>
      <w:pPr>
        <w:rPr>
          <w:sz w:val="22"/>
          <w:szCs w:val="22"/>
        </w:rPr>
      </w:pPr>
    </w:p>
    <w:p>
      <w:pPr>
        <w:pStyle w:val="ListParagraph"/>
        <w:numPr>
          <w:ilvl w:val="0"/>
          <w:numId w:val="26"/>
        </w:numPr>
        <w:rPr>
          <w:sz w:val="22"/>
          <w:szCs w:val="22"/>
        </w:rPr>
      </w:pPr>
      <w:hyperlink r:id="rId51" w:history="1">
        <w:r>
          <w:rPr>
            <w:rStyle w:val="Hyperlink"/>
            <w:sz w:val="22"/>
            <w:szCs w:val="22"/>
          </w:rPr>
          <w:t>ASCL Association of School and College Leaders</w:t>
        </w:r>
      </w:hyperlink>
    </w:p>
    <w:p>
      <w:pPr>
        <w:rPr>
          <w:sz w:val="22"/>
          <w:szCs w:val="22"/>
        </w:rPr>
      </w:pPr>
    </w:p>
    <w:p>
      <w:pPr>
        <w:pStyle w:val="ListParagraph"/>
        <w:numPr>
          <w:ilvl w:val="0"/>
          <w:numId w:val="26"/>
        </w:numPr>
        <w:rPr>
          <w:sz w:val="22"/>
          <w:szCs w:val="22"/>
        </w:rPr>
      </w:pPr>
      <w:r>
        <w:rPr>
          <w:sz w:val="22"/>
          <w:szCs w:val="22"/>
        </w:rPr>
        <w:t>Ruth Fox, Safeguarding Children Officer (Education Settings)</w:t>
      </w:r>
    </w:p>
    <w:p>
      <w:pPr>
        <w:ind w:firstLine="720"/>
        <w:rPr>
          <w:sz w:val="22"/>
          <w:szCs w:val="22"/>
        </w:rPr>
      </w:pPr>
      <w:r>
        <w:rPr>
          <w:sz w:val="22"/>
          <w:szCs w:val="22"/>
        </w:rPr>
        <w:t>Children's Services, Lincolnshire County Council</w:t>
      </w:r>
    </w:p>
    <w:p>
      <w:pPr>
        <w:ind w:firstLine="720"/>
        <w:rPr>
          <w:sz w:val="22"/>
          <w:szCs w:val="22"/>
        </w:rPr>
      </w:pPr>
      <w:r>
        <w:rPr>
          <w:sz w:val="22"/>
          <w:szCs w:val="22"/>
        </w:rPr>
        <w:t>T: 01522 554695</w:t>
      </w:r>
    </w:p>
    <w:p>
      <w:pPr>
        <w:ind w:firstLine="720"/>
        <w:rPr>
          <w:sz w:val="22"/>
          <w:szCs w:val="22"/>
        </w:rPr>
      </w:pPr>
      <w:r>
        <w:rPr>
          <w:sz w:val="22"/>
          <w:szCs w:val="22"/>
        </w:rPr>
        <w:t>M: 07747 565355</w:t>
      </w:r>
    </w:p>
    <w:p>
      <w:pPr>
        <w:ind w:firstLine="720"/>
        <w:rPr>
          <w:sz w:val="22"/>
          <w:szCs w:val="22"/>
        </w:rPr>
      </w:pPr>
      <w:r>
        <w:rPr>
          <w:sz w:val="22"/>
          <w:szCs w:val="22"/>
        </w:rPr>
        <w:t xml:space="preserve">E: </w:t>
      </w:r>
      <w:hyperlink r:id="rId52" w:history="1">
        <w:r>
          <w:rPr>
            <w:rStyle w:val="Hyperlink"/>
            <w:sz w:val="22"/>
            <w:szCs w:val="22"/>
          </w:rPr>
          <w:t>ruth.fox@lincolnshire.gov.uk</w:t>
        </w:r>
      </w:hyperlink>
      <w:r>
        <w:rPr>
          <w:sz w:val="22"/>
          <w:szCs w:val="22"/>
        </w:rPr>
        <w:t xml:space="preserve"> </w:t>
      </w:r>
    </w:p>
    <w:p>
      <w:pPr>
        <w:rPr>
          <w:sz w:val="22"/>
          <w:szCs w:val="22"/>
        </w:rPr>
      </w:pPr>
    </w:p>
    <w:p>
      <w:pPr>
        <w:pStyle w:val="ListParagraph"/>
        <w:numPr>
          <w:ilvl w:val="0"/>
          <w:numId w:val="27"/>
        </w:numPr>
        <w:rPr>
          <w:sz w:val="22"/>
          <w:szCs w:val="22"/>
        </w:rPr>
      </w:pPr>
      <w:r>
        <w:rPr>
          <w:sz w:val="22"/>
          <w:szCs w:val="22"/>
        </w:rPr>
        <w:t>Anti-terrorist hotline 0800 789 321</w:t>
      </w:r>
    </w:p>
    <w:p>
      <w:pPr>
        <w:pStyle w:val="ListParagraph"/>
        <w:rPr>
          <w:sz w:val="22"/>
          <w:szCs w:val="22"/>
        </w:rPr>
      </w:pPr>
    </w:p>
    <w:p>
      <w:pPr>
        <w:pStyle w:val="ListParagraph"/>
        <w:numPr>
          <w:ilvl w:val="0"/>
          <w:numId w:val="27"/>
        </w:numPr>
        <w:rPr>
          <w:sz w:val="22"/>
          <w:szCs w:val="22"/>
        </w:rPr>
      </w:pPr>
      <w:r>
        <w:rPr>
          <w:sz w:val="22"/>
          <w:szCs w:val="22"/>
        </w:rPr>
        <w:t>Paul Drury, Prevent Support Officer, Lincolnshire County Council, 01522 555367</w:t>
      </w:r>
    </w:p>
    <w:p>
      <w:pPr>
        <w:ind w:left="720"/>
        <w:rPr>
          <w:sz w:val="22"/>
          <w:szCs w:val="22"/>
        </w:rPr>
      </w:pPr>
    </w:p>
    <w:p>
      <w:pPr>
        <w:pStyle w:val="ListParagraph"/>
        <w:numPr>
          <w:ilvl w:val="0"/>
          <w:numId w:val="28"/>
        </w:numPr>
        <w:contextualSpacing w:val="0"/>
        <w:rPr>
          <w:sz w:val="22"/>
          <w:szCs w:val="22"/>
        </w:rPr>
      </w:pPr>
      <w:r>
        <w:rPr>
          <w:sz w:val="22"/>
          <w:szCs w:val="22"/>
        </w:rPr>
        <w:t xml:space="preserve">PREVENT Officer, East Midlands Special Operations Unit – Special Branch, 01522 885350, Email: </w:t>
      </w:r>
      <w:hyperlink r:id="rId53" w:history="1">
        <w:r>
          <w:rPr>
            <w:rStyle w:val="Hyperlink"/>
            <w:sz w:val="22"/>
            <w:szCs w:val="22"/>
          </w:rPr>
          <w:t>prevent@lincs.pnn.police.uk</w:t>
        </w:r>
      </w:hyperlink>
      <w:r>
        <w:rPr>
          <w:sz w:val="22"/>
          <w:szCs w:val="22"/>
        </w:rPr>
        <w:t xml:space="preserve"> </w:t>
      </w:r>
    </w:p>
    <w:p>
      <w:pPr>
        <w:ind w:left="360"/>
        <w:rPr>
          <w:sz w:val="22"/>
          <w:szCs w:val="22"/>
        </w:rPr>
      </w:pPr>
    </w:p>
    <w:p>
      <w:pPr>
        <w:pStyle w:val="ListParagraph"/>
        <w:numPr>
          <w:ilvl w:val="0"/>
          <w:numId w:val="28"/>
        </w:numPr>
        <w:rPr>
          <w:rStyle w:val="Hyperlink"/>
          <w:sz w:val="22"/>
          <w:szCs w:val="22"/>
        </w:rPr>
        <w:sectPr>
          <w:pgSz w:w="11906" w:h="16838" w:code="9"/>
          <w:pgMar w:top="1152" w:right="720" w:bottom="720" w:left="720" w:header="706" w:footer="720" w:gutter="0"/>
          <w:cols w:space="708"/>
          <w:docGrid w:linePitch="360"/>
        </w:sectPr>
      </w:pPr>
      <w:r>
        <w:rPr>
          <w:sz w:val="22"/>
          <w:szCs w:val="22"/>
        </w:rPr>
        <w:t xml:space="preserve">EMTET contact details are 01427 787190, </w:t>
      </w:r>
      <w:hyperlink r:id="rId54" w:history="1">
        <w:r>
          <w:rPr>
            <w:rStyle w:val="Hyperlink"/>
            <w:sz w:val="22"/>
            <w:szCs w:val="22"/>
          </w:rPr>
          <w:t>www.lincolnshire.gov.uk/emtet</w:t>
        </w:r>
      </w:hyperlink>
    </w:p>
    <w:p>
      <w:pPr>
        <w:rPr>
          <w:sz w:val="22"/>
          <w:szCs w:val="22"/>
        </w:rPr>
      </w:pPr>
      <w:r>
        <w:rPr>
          <w:sz w:val="22"/>
          <w:szCs w:val="22"/>
        </w:rPr>
        <w:lastRenderedPageBreak/>
        <w:t>Channel Referral Form</w:t>
      </w:r>
    </w:p>
    <w:p>
      <w:pPr>
        <w:rPr>
          <w:sz w:val="22"/>
          <w:szCs w:val="22"/>
        </w:rPr>
      </w:pPr>
    </w:p>
    <w:p>
      <w:pPr>
        <w:pStyle w:val="Heading3"/>
        <w:rPr>
          <w:rFonts w:ascii="Arial" w:hAnsi="Arial" w:cs="Arial"/>
          <w:b w:val="0"/>
          <w:bCs/>
          <w:color w:val="FFFFFF"/>
          <w:sz w:val="22"/>
          <w:szCs w:val="22"/>
        </w:rPr>
      </w:pPr>
      <w:r>
        <w:rPr>
          <w:rFonts w:ascii="Arial" w:hAnsi="Arial" w:cs="Arial"/>
          <w:b w:val="0"/>
          <w:bCs/>
          <w:noProof/>
          <w:color w:val="12003C"/>
          <w:sz w:val="22"/>
          <w:szCs w:val="22"/>
        </w:rPr>
        <mc:AlternateContent>
          <mc:Choice Requires="wps">
            <w:drawing>
              <wp:anchor distT="0" distB="0" distL="114300" distR="114300" simplePos="0" relativeHeight="251666432" behindDoc="1" locked="0" layoutInCell="1" allowOverlap="1">
                <wp:simplePos x="0" y="0"/>
                <wp:positionH relativeFrom="column">
                  <wp:posOffset>-1028700</wp:posOffset>
                </wp:positionH>
                <wp:positionV relativeFrom="paragraph">
                  <wp:posOffset>0</wp:posOffset>
                </wp:positionV>
                <wp:extent cx="7200900" cy="800100"/>
                <wp:effectExtent l="0" t="0" r="0" b="508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800100"/>
                        </a:xfrm>
                        <a:prstGeom prst="rect">
                          <a:avLst/>
                        </a:prstGeom>
                        <a:solidFill>
                          <a:srgbClr val="1200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7D4FD" id="Rectangle 2" o:spid="_x0000_s1026" style="position:absolute;margin-left:-81pt;margin-top:0;width:567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" fillcolor="#12003c" stroked="f"/>
            </w:pict>
          </mc:Fallback>
        </mc:AlternateContent>
      </w:r>
      <w:r>
        <w:rPr>
          <w:rFonts w:ascii="Arial" w:hAnsi="Arial" w:cs="Arial"/>
          <w:b w:val="0"/>
          <w:bCs/>
          <w:color w:val="FFFFFF"/>
          <w:sz w:val="22"/>
          <w:szCs w:val="22"/>
        </w:rPr>
        <w:t>Lincolnshire Police</w:t>
      </w:r>
    </w:p>
    <w:p>
      <w:pPr>
        <w:pStyle w:val="Heading3"/>
        <w:rPr>
          <w:rFonts w:ascii="Arial" w:hAnsi="Arial" w:cs="Arial"/>
          <w:b w:val="0"/>
          <w:bCs/>
          <w:color w:val="12003C"/>
          <w:sz w:val="22"/>
          <w:szCs w:val="22"/>
        </w:rPr>
      </w:pPr>
      <w:r>
        <w:rPr>
          <w:rFonts w:ascii="Arial" w:hAnsi="Arial" w:cs="Arial"/>
          <w:b w:val="0"/>
          <w:bCs/>
          <w:noProof/>
          <w:color w:val="FFFFFF"/>
          <w:sz w:val="22"/>
          <w:szCs w:val="22"/>
        </w:rPr>
        <mc:AlternateContent>
          <mc:Choice Requires="wps">
            <w:drawing>
              <wp:anchor distT="0" distB="0" distL="114300" distR="114300" simplePos="0" relativeHeight="251667456" behindDoc="1" locked="0" layoutInCell="1" allowOverlap="1">
                <wp:simplePos x="0" y="0"/>
                <wp:positionH relativeFrom="column">
                  <wp:posOffset>-2057400</wp:posOffset>
                </wp:positionH>
                <wp:positionV relativeFrom="paragraph">
                  <wp:posOffset>276860</wp:posOffset>
                </wp:positionV>
                <wp:extent cx="6972300" cy="914400"/>
                <wp:effectExtent l="0" t="0" r="0" b="508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14400"/>
                        </a:xfrm>
                        <a:prstGeom prst="rect">
                          <a:avLst/>
                        </a:prstGeom>
                        <a:solidFill>
                          <a:srgbClr val="1200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F0C6A" id="Rectangle 3" o:spid="_x0000_s1026" style="position:absolute;margin-left:-162pt;margin-top:21.8pt;width:549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" fillcolor="#12003c" stroked="f"/>
            </w:pict>
          </mc:Fallback>
        </mc:AlternateContent>
      </w:r>
      <w:r>
        <w:rPr>
          <w:rFonts w:ascii="Arial" w:hAnsi="Arial" w:cs="Arial"/>
          <w:b w:val="0"/>
          <w:bCs/>
          <w:color w:val="62CAE3"/>
          <w:sz w:val="22"/>
          <w:szCs w:val="22"/>
        </w:rPr>
        <w:t>Channel</w:t>
      </w:r>
    </w:p>
    <w:p>
      <w:pPr>
        <w:pStyle w:val="Heading3"/>
        <w:rPr>
          <w:rFonts w:ascii="Arial" w:hAnsi="Arial" w:cs="Arial"/>
          <w:b w:val="0"/>
          <w:bCs/>
          <w:color w:val="12003C"/>
          <w:sz w:val="22"/>
          <w:szCs w:val="22"/>
        </w:rPr>
      </w:pPr>
    </w:p>
    <w:p>
      <w:pPr>
        <w:pStyle w:val="BodyText"/>
        <w:rPr>
          <w:b/>
          <w:bCs/>
          <w:color w:val="FFFFFF"/>
          <w:sz w:val="22"/>
          <w:szCs w:val="22"/>
        </w:rPr>
      </w:pPr>
      <w:r>
        <w:rPr>
          <w:b/>
          <w:bCs/>
          <w:color w:val="FFFFFF"/>
          <w:sz w:val="22"/>
          <w:szCs w:val="22"/>
        </w:rPr>
        <w:t xml:space="preserve">Safeguarding vulnerable individuals </w:t>
      </w:r>
      <w:r>
        <w:rPr>
          <w:b/>
          <w:bCs/>
          <w:color w:val="FFFFFF"/>
          <w:sz w:val="22"/>
          <w:szCs w:val="22"/>
        </w:rPr>
        <w:br/>
        <w:t>from violent extremism</w:t>
      </w:r>
    </w:p>
    <w:p>
      <w:pPr>
        <w:pStyle w:val="Heading3"/>
        <w:rPr>
          <w:rFonts w:ascii="Arial" w:hAnsi="Arial" w:cs="Arial"/>
          <w:b w:val="0"/>
          <w:bCs/>
          <w:color w:val="12003C"/>
          <w:sz w:val="22"/>
          <w:szCs w:val="22"/>
        </w:rPr>
      </w:pPr>
      <w:r>
        <w:rPr>
          <w:rFonts w:ascii="Arial" w:hAnsi="Arial" w:cs="Arial"/>
          <w:b w:val="0"/>
          <w:bCs/>
          <w:color w:val="12003C"/>
          <w:sz w:val="22"/>
          <w:szCs w:val="22"/>
        </w:rPr>
        <w:t xml:space="preserve"> </w:t>
      </w:r>
    </w:p>
    <w:p>
      <w:pPr>
        <w:pStyle w:val="Heading3"/>
        <w:rPr>
          <w:rFonts w:ascii="Arial" w:hAnsi="Arial" w:cs="Arial"/>
          <w:b w:val="0"/>
          <w:bCs/>
          <w:color w:val="12003C"/>
          <w:sz w:val="22"/>
          <w:szCs w:val="22"/>
        </w:rPr>
      </w:pPr>
    </w:p>
    <w:p>
      <w:pPr>
        <w:pStyle w:val="Heading3"/>
        <w:rPr>
          <w:rFonts w:ascii="Arial" w:hAnsi="Arial" w:cs="Arial"/>
          <w:b w:val="0"/>
          <w:bCs/>
          <w:color w:val="12003C"/>
          <w:sz w:val="22"/>
          <w:szCs w:val="22"/>
        </w:rPr>
      </w:pPr>
      <w:r>
        <w:rPr>
          <w:rFonts w:ascii="Arial" w:hAnsi="Arial" w:cs="Arial"/>
          <w:b w:val="0"/>
          <w:bCs/>
          <w:color w:val="12003C"/>
          <w:sz w:val="22"/>
          <w:szCs w:val="22"/>
        </w:rPr>
        <w:t>Referral form</w:t>
      </w:r>
    </w:p>
    <w:p>
      <w:pPr>
        <w:rPr>
          <w:color w:val="12003C"/>
          <w:sz w:val="22"/>
          <w:szCs w:val="22"/>
        </w:rPr>
      </w:pPr>
    </w:p>
    <w:p>
      <w:pPr>
        <w:rPr>
          <w:color w:val="12003C"/>
          <w:sz w:val="22"/>
          <w:szCs w:val="22"/>
        </w:rPr>
      </w:pPr>
      <w:r>
        <w:rPr>
          <w:color w:val="12003C"/>
          <w:sz w:val="22"/>
          <w:szCs w:val="22"/>
        </w:rPr>
        <w:t>Please fill in as much information as possible. Simply click in the grey</w:t>
      </w:r>
      <w:r>
        <w:rPr>
          <w:color w:val="12003C"/>
          <w:sz w:val="22"/>
          <w:szCs w:val="22"/>
        </w:rPr>
        <w:br/>
        <w:t xml:space="preserve">box and type the details required. Once completed, email the form to </w:t>
      </w:r>
      <w:hyperlink r:id="rId55" w:history="1">
        <w:r>
          <w:rPr>
            <w:rStyle w:val="Hyperlink"/>
            <w:b/>
            <w:bCs/>
            <w:color w:val="12003C"/>
            <w:sz w:val="22"/>
            <w:szCs w:val="22"/>
          </w:rPr>
          <w:t xml:space="preserve">channel@lincs.pnn.police.uk </w:t>
        </w:r>
      </w:hyperlink>
    </w:p>
    <w:p>
      <w:pPr>
        <w:rPr>
          <w:color w:val="12003C"/>
          <w:sz w:val="22"/>
          <w:szCs w:val="22"/>
        </w:rPr>
      </w:pPr>
    </w:p>
    <w:p>
      <w:pPr>
        <w:pStyle w:val="Header"/>
        <w:tabs>
          <w:tab w:val="clear" w:pos="4153"/>
          <w:tab w:val="clear" w:pos="8306"/>
        </w:tabs>
        <w:rPr>
          <w:color w:val="12003C"/>
          <w:sz w:val="22"/>
          <w:szCs w:val="22"/>
        </w:rPr>
      </w:pPr>
      <w:r>
        <w:rPr>
          <w:color w:val="12003C"/>
          <w:sz w:val="22"/>
          <w:szCs w:val="22"/>
        </w:rPr>
        <w:t>The Channel process is about providing early intervention to prevent young and vulnerable people becoming radicalised into extremist violence. Violent extremism may be related to any religion or faith or to political or environmental issues. There is no single route into extremism, nor is there a simple profile of those that may become extremist. Factors that may indicate vulnerability to extremism may include:</w:t>
      </w:r>
    </w:p>
    <w:p>
      <w:pPr>
        <w:autoSpaceDE w:val="0"/>
        <w:autoSpaceDN w:val="0"/>
        <w:adjustRightInd w:val="0"/>
        <w:rPr>
          <w:color w:val="58595B"/>
          <w:sz w:val="22"/>
          <w:szCs w:val="22"/>
          <w:lang w:val="en-US"/>
        </w:rPr>
      </w:pPr>
    </w:p>
    <w:p>
      <w:pPr>
        <w:numPr>
          <w:ilvl w:val="0"/>
          <w:numId w:val="30"/>
        </w:numPr>
        <w:spacing w:after="192" w:line="0" w:lineRule="atLeast"/>
        <w:ind w:left="1077" w:hanging="357"/>
        <w:rPr>
          <w:color w:val="000000"/>
          <w:sz w:val="22"/>
          <w:szCs w:val="22"/>
        </w:rPr>
      </w:pPr>
      <w:r>
        <w:rPr>
          <w:color w:val="000000"/>
          <w:sz w:val="22"/>
          <w:szCs w:val="22"/>
          <w:lang w:val="en-US"/>
        </w:rPr>
        <w:t>Possession of literature regarding military training, skills and techniques</w:t>
      </w:r>
    </w:p>
    <w:p>
      <w:pPr>
        <w:numPr>
          <w:ilvl w:val="0"/>
          <w:numId w:val="30"/>
        </w:numPr>
        <w:spacing w:after="192" w:line="0" w:lineRule="atLeast"/>
        <w:ind w:left="1077" w:hanging="357"/>
        <w:rPr>
          <w:color w:val="000000"/>
          <w:sz w:val="22"/>
          <w:szCs w:val="22"/>
        </w:rPr>
      </w:pPr>
      <w:r>
        <w:rPr>
          <w:color w:val="000000"/>
          <w:sz w:val="22"/>
          <w:szCs w:val="22"/>
        </w:rPr>
        <w:t xml:space="preserve">Possession of violent extremist literature  </w:t>
      </w:r>
    </w:p>
    <w:p>
      <w:pPr>
        <w:numPr>
          <w:ilvl w:val="0"/>
          <w:numId w:val="30"/>
        </w:numPr>
        <w:spacing w:after="192" w:line="0" w:lineRule="atLeast"/>
        <w:ind w:left="1077" w:hanging="357"/>
        <w:rPr>
          <w:color w:val="000000"/>
          <w:sz w:val="22"/>
          <w:szCs w:val="22"/>
        </w:rPr>
      </w:pPr>
      <w:r>
        <w:rPr>
          <w:color w:val="000000"/>
          <w:sz w:val="22"/>
          <w:szCs w:val="22"/>
        </w:rPr>
        <w:t>The expression of extremist views advocating violent actions and means</w:t>
      </w:r>
    </w:p>
    <w:p>
      <w:pPr>
        <w:pStyle w:val="Header"/>
        <w:numPr>
          <w:ilvl w:val="0"/>
          <w:numId w:val="30"/>
        </w:numPr>
        <w:tabs>
          <w:tab w:val="clear" w:pos="4153"/>
          <w:tab w:val="clear" w:pos="8306"/>
        </w:tabs>
        <w:spacing w:line="0" w:lineRule="atLeast"/>
        <w:ind w:left="1077" w:hanging="357"/>
        <w:rPr>
          <w:color w:val="12003C"/>
          <w:sz w:val="22"/>
          <w:szCs w:val="22"/>
        </w:rPr>
      </w:pPr>
      <w:r>
        <w:rPr>
          <w:color w:val="000000"/>
          <w:sz w:val="22"/>
          <w:szCs w:val="22"/>
        </w:rPr>
        <w:t>Association with known extremists, seeking to recruit others to an extremist ideology or claims of involvement with organisations espousing extreme violence</w:t>
      </w:r>
      <w:r>
        <w:rPr>
          <w:color w:val="000000"/>
          <w:sz w:val="22"/>
          <w:szCs w:val="22"/>
          <w:lang w:val="en-US"/>
        </w:rPr>
        <w:t xml:space="preserve"> </w:t>
      </w:r>
    </w:p>
    <w:p>
      <w:pPr>
        <w:pStyle w:val="Header"/>
        <w:tabs>
          <w:tab w:val="clear" w:pos="4153"/>
          <w:tab w:val="clear" w:pos="8306"/>
        </w:tabs>
        <w:spacing w:line="0" w:lineRule="atLeast"/>
        <w:ind w:left="720"/>
        <w:rPr>
          <w:color w:val="12003C"/>
          <w:sz w:val="22"/>
          <w:szCs w:val="22"/>
        </w:rPr>
      </w:pPr>
    </w:p>
    <w:p>
      <w:pPr>
        <w:pStyle w:val="Header"/>
        <w:numPr>
          <w:ilvl w:val="0"/>
          <w:numId w:val="30"/>
        </w:numPr>
        <w:tabs>
          <w:tab w:val="clear" w:pos="4153"/>
          <w:tab w:val="clear" w:pos="8306"/>
        </w:tabs>
        <w:spacing w:line="0" w:lineRule="atLeast"/>
        <w:ind w:left="1077" w:hanging="357"/>
        <w:rPr>
          <w:color w:val="12003C"/>
          <w:sz w:val="22"/>
          <w:szCs w:val="22"/>
        </w:rPr>
      </w:pPr>
      <w:r>
        <w:rPr>
          <w:color w:val="000000"/>
          <w:sz w:val="22"/>
          <w:szCs w:val="22"/>
          <w:lang w:val="en-US"/>
        </w:rPr>
        <w:t>Exposure to an ideology</w:t>
      </w:r>
      <w:r>
        <w:rPr>
          <w:i/>
          <w:iCs/>
          <w:color w:val="000000"/>
          <w:sz w:val="22"/>
          <w:szCs w:val="22"/>
          <w:lang w:val="en-US"/>
        </w:rPr>
        <w:t xml:space="preserve"> </w:t>
      </w:r>
      <w:r>
        <w:rPr>
          <w:color w:val="000000"/>
          <w:sz w:val="22"/>
          <w:szCs w:val="22"/>
          <w:lang w:val="en-US"/>
        </w:rPr>
        <w:t>that appears to sanction, legitimize or require violence</w:t>
      </w:r>
    </w:p>
    <w:p>
      <w:pPr>
        <w:autoSpaceDE w:val="0"/>
        <w:autoSpaceDN w:val="0"/>
        <w:adjustRightInd w:val="0"/>
        <w:rPr>
          <w:color w:val="000000"/>
          <w:sz w:val="22"/>
          <w:szCs w:val="22"/>
          <w:lang w:val="en-US"/>
        </w:rPr>
      </w:pPr>
    </w:p>
    <w:p>
      <w:pPr>
        <w:pStyle w:val="Header"/>
        <w:numPr>
          <w:ilvl w:val="0"/>
          <w:numId w:val="30"/>
        </w:numPr>
        <w:tabs>
          <w:tab w:val="clear" w:pos="4153"/>
          <w:tab w:val="clear" w:pos="8306"/>
        </w:tabs>
        <w:spacing w:line="0" w:lineRule="atLeast"/>
        <w:ind w:left="1077" w:hanging="357"/>
        <w:rPr>
          <w:color w:val="12003C"/>
          <w:sz w:val="22"/>
          <w:szCs w:val="22"/>
        </w:rPr>
      </w:pPr>
      <w:r>
        <w:rPr>
          <w:color w:val="000000"/>
          <w:sz w:val="22"/>
          <w:szCs w:val="22"/>
          <w:lang w:val="en-US"/>
        </w:rPr>
        <w:t>A range of perceived grievances, real and some imagined, to which there seems to be no credible and effective non-violent response.</w:t>
      </w:r>
    </w:p>
    <w:p>
      <w:pPr>
        <w:spacing w:line="0" w:lineRule="atLeast"/>
        <w:rPr>
          <w:color w:val="000000"/>
          <w:sz w:val="22"/>
          <w:szCs w:val="22"/>
        </w:rPr>
      </w:pPr>
    </w:p>
    <w:p>
      <w:pPr>
        <w:pStyle w:val="BodyText"/>
        <w:rPr>
          <w:sz w:val="22"/>
          <w:szCs w:val="22"/>
        </w:rPr>
      </w:pPr>
      <w:r>
        <w:rPr>
          <w:sz w:val="22"/>
          <w:szCs w:val="22"/>
        </w:rPr>
        <w:t xml:space="preserve">It must not be assumed that these characteristics and experiences will necessarily lead to individuals becoming violent extremists, or that these indicators are the only source of information required </w:t>
      </w:r>
      <w:r>
        <w:rPr>
          <w:color w:val="000000"/>
          <w:sz w:val="22"/>
          <w:szCs w:val="22"/>
          <w:lang w:val="en-US"/>
        </w:rPr>
        <w:t>to make an appropriate assessment about vulnerability. Channel is not about spying or gathering intelligence. Its aim is to identify people who may be vulnerable to being drawn into acts of extremist violence for whatever purpose.</w:t>
      </w:r>
    </w:p>
    <w:p>
      <w:pPr>
        <w:pStyle w:val="BodyText"/>
        <w:rPr>
          <w:color w:val="12003C"/>
          <w:sz w:val="22"/>
          <w:szCs w:val="22"/>
        </w:rPr>
      </w:pPr>
      <w:r>
        <w:rPr>
          <w:sz w:val="22"/>
          <w:szCs w:val="22"/>
        </w:rPr>
        <w:lastRenderedPageBreak/>
        <w:t xml:space="preserve">The information you provide on this form will be held on police systems and will be used to determine if further enquiries, investigations and interventions are required. Please provide as much information as possible. Where possible, any suspicion or opinion should be supported by reference to others facts or sources. </w:t>
      </w:r>
    </w:p>
    <w:p>
      <w:pPr>
        <w:pStyle w:val="Header"/>
        <w:tabs>
          <w:tab w:val="clear" w:pos="4153"/>
          <w:tab w:val="clear" w:pos="8306"/>
        </w:tabs>
        <w:rPr>
          <w:color w:val="12003C"/>
          <w:sz w:val="22"/>
          <w:szCs w:val="22"/>
        </w:rPr>
      </w:pPr>
    </w:p>
    <w:p>
      <w:pPr>
        <w:pStyle w:val="Header"/>
        <w:tabs>
          <w:tab w:val="clear" w:pos="4153"/>
          <w:tab w:val="clear" w:pos="8306"/>
        </w:tabs>
        <w:rPr>
          <w:color w:val="12003C"/>
          <w:sz w:val="22"/>
          <w:szCs w:val="22"/>
        </w:rPr>
      </w:pPr>
      <w:r>
        <w:rPr>
          <w:color w:val="12003C"/>
          <w:sz w:val="22"/>
          <w:szCs w:val="22"/>
        </w:rPr>
        <w:t xml:space="preserve">Ordinarily, should you be disclosing personal information from your information systems you should obtain the consent of the individual concerned though we appreciate this isn’t always possible or </w:t>
      </w:r>
      <w:proofErr w:type="gramStart"/>
      <w:r>
        <w:rPr>
          <w:color w:val="12003C"/>
          <w:sz w:val="22"/>
          <w:szCs w:val="22"/>
        </w:rPr>
        <w:t>desirable.</w:t>
      </w:r>
      <w:proofErr w:type="gramEnd"/>
      <w:r>
        <w:rPr>
          <w:color w:val="12003C"/>
          <w:sz w:val="22"/>
          <w:szCs w:val="22"/>
        </w:rPr>
        <w:t xml:space="preserve"> </w:t>
      </w:r>
      <w:r>
        <w:rPr>
          <w:b/>
          <w:color w:val="FF0000"/>
          <w:sz w:val="22"/>
          <w:szCs w:val="22"/>
        </w:rPr>
        <w:t>Information that you provide may be shared with other partners and organisations.</w:t>
      </w:r>
      <w:r>
        <w:rPr>
          <w:color w:val="12003C"/>
          <w:sz w:val="22"/>
          <w:szCs w:val="22"/>
        </w:rPr>
        <w:t xml:space="preserve"> You may wish to consult your Data Protection Officer for further advice. </w:t>
      </w:r>
    </w:p>
    <w:p>
      <w:pPr>
        <w:pStyle w:val="Header"/>
        <w:tabs>
          <w:tab w:val="clear" w:pos="4153"/>
          <w:tab w:val="clear" w:pos="8306"/>
        </w:tabs>
        <w:rPr>
          <w:color w:val="12003C"/>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280"/>
      </w:tblGrid>
      <w:tr>
        <w:trPr>
          <w:trHeight w:val="360"/>
        </w:trPr>
        <w:tc>
          <w:tcPr>
            <w:tcW w:w="10260" w:type="dxa"/>
            <w:gridSpan w:val="2"/>
            <w:shd w:val="clear" w:color="auto" w:fill="E0E0E0"/>
          </w:tcPr>
          <w:p>
            <w:pPr>
              <w:pStyle w:val="Heading4"/>
              <w:rPr>
                <w:rFonts w:ascii="Arial" w:hAnsi="Arial" w:cs="Arial"/>
                <w:color w:val="12003C"/>
                <w:sz w:val="22"/>
                <w:szCs w:val="22"/>
              </w:rPr>
            </w:pPr>
            <w:r>
              <w:rPr>
                <w:rFonts w:ascii="Arial" w:hAnsi="Arial" w:cs="Arial"/>
                <w:color w:val="12003C"/>
                <w:sz w:val="22"/>
                <w:szCs w:val="22"/>
              </w:rPr>
              <w:t>1. Details of person / organisation making the referral:</w:t>
            </w:r>
          </w:p>
        </w:tc>
      </w:tr>
      <w:tr>
        <w:trPr>
          <w:trHeight w:val="524"/>
        </w:trPr>
        <w:tc>
          <w:tcPr>
            <w:tcW w:w="1980" w:type="dxa"/>
          </w:tcPr>
          <w:p>
            <w:pPr>
              <w:rPr>
                <w:color w:val="12003C"/>
                <w:sz w:val="22"/>
                <w:szCs w:val="22"/>
              </w:rPr>
            </w:pPr>
            <w:r>
              <w:rPr>
                <w:b/>
                <w:bCs/>
                <w:color w:val="12003C"/>
                <w:sz w:val="22"/>
                <w:szCs w:val="22"/>
              </w:rPr>
              <w:t>Name:</w:t>
            </w:r>
            <w:r>
              <w:rPr>
                <w:color w:val="12003C"/>
                <w:sz w:val="22"/>
                <w:szCs w:val="22"/>
              </w:rPr>
              <w:t xml:space="preserve"> </w:t>
            </w:r>
          </w:p>
        </w:tc>
        <w:tc>
          <w:tcPr>
            <w:tcW w:w="8280" w:type="dxa"/>
          </w:tcPr>
          <w:p>
            <w:pPr>
              <w:rPr>
                <w:color w:val="12003C"/>
                <w:sz w:val="22"/>
                <w:szCs w:val="22"/>
              </w:rPr>
            </w:pPr>
            <w:r>
              <w:rPr>
                <w:color w:val="12003C"/>
                <w:sz w:val="22"/>
                <w:szCs w:val="22"/>
              </w:rPr>
              <w:fldChar w:fldCharType="begin">
                <w:ffData>
                  <w:name w:val="Text11"/>
                  <w:enabled/>
                  <w:calcOnExit w:val="0"/>
                  <w:textInput/>
                </w:ffData>
              </w:fldChar>
            </w:r>
            <w:bookmarkStart w:id="1" w:name="Text11"/>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1"/>
          </w:p>
        </w:tc>
      </w:tr>
      <w:tr>
        <w:trPr>
          <w:trHeight w:val="460"/>
        </w:trPr>
        <w:tc>
          <w:tcPr>
            <w:tcW w:w="1980" w:type="dxa"/>
          </w:tcPr>
          <w:p>
            <w:pPr>
              <w:rPr>
                <w:color w:val="12003C"/>
                <w:sz w:val="22"/>
                <w:szCs w:val="22"/>
              </w:rPr>
            </w:pPr>
            <w:r>
              <w:rPr>
                <w:b/>
                <w:bCs/>
                <w:color w:val="12003C"/>
                <w:sz w:val="22"/>
                <w:szCs w:val="22"/>
              </w:rPr>
              <w:t xml:space="preserve">Organisation: </w:t>
            </w:r>
          </w:p>
        </w:tc>
        <w:tc>
          <w:tcPr>
            <w:tcW w:w="8280" w:type="dxa"/>
          </w:tcPr>
          <w:p>
            <w:pPr>
              <w:rPr>
                <w:color w:val="12003C"/>
                <w:sz w:val="22"/>
                <w:szCs w:val="22"/>
              </w:rPr>
            </w:pPr>
            <w:r>
              <w:rPr>
                <w:color w:val="12003C"/>
                <w:sz w:val="22"/>
                <w:szCs w:val="22"/>
              </w:rPr>
              <w:fldChar w:fldCharType="begin">
                <w:ffData>
                  <w:name w:val="Text10"/>
                  <w:enabled/>
                  <w:calcOnExit w:val="0"/>
                  <w:textInput/>
                </w:ffData>
              </w:fldChar>
            </w:r>
            <w:bookmarkStart w:id="2" w:name="Text10"/>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2"/>
          </w:p>
        </w:tc>
      </w:tr>
      <w:tr>
        <w:trPr>
          <w:trHeight w:val="575"/>
        </w:trPr>
        <w:tc>
          <w:tcPr>
            <w:tcW w:w="1980" w:type="dxa"/>
          </w:tcPr>
          <w:p>
            <w:pPr>
              <w:rPr>
                <w:b/>
                <w:bCs/>
                <w:color w:val="12003C"/>
                <w:sz w:val="22"/>
                <w:szCs w:val="22"/>
              </w:rPr>
            </w:pPr>
            <w:r>
              <w:rPr>
                <w:b/>
                <w:bCs/>
                <w:color w:val="12003C"/>
                <w:sz w:val="22"/>
                <w:szCs w:val="22"/>
              </w:rPr>
              <w:t>Contact number(s):</w:t>
            </w:r>
            <w:r>
              <w:rPr>
                <w:color w:val="12003C"/>
                <w:sz w:val="22"/>
                <w:szCs w:val="22"/>
              </w:rPr>
              <w:t xml:space="preserve"> </w:t>
            </w:r>
          </w:p>
        </w:tc>
        <w:tc>
          <w:tcPr>
            <w:tcW w:w="8280" w:type="dxa"/>
          </w:tcPr>
          <w:p>
            <w:pPr>
              <w:rPr>
                <w:color w:val="12003C"/>
                <w:sz w:val="22"/>
                <w:szCs w:val="22"/>
              </w:rPr>
            </w:pPr>
            <w:r>
              <w:rPr>
                <w:color w:val="12003C"/>
                <w:sz w:val="22"/>
                <w:szCs w:val="22"/>
              </w:rPr>
              <w:fldChar w:fldCharType="begin">
                <w:ffData>
                  <w:name w:val="Text9"/>
                  <w:enabled/>
                  <w:calcOnExit w:val="0"/>
                  <w:textInput/>
                </w:ffData>
              </w:fldChar>
            </w:r>
            <w:bookmarkStart w:id="3" w:name="Text9"/>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3"/>
          </w:p>
        </w:tc>
      </w:tr>
      <w:tr>
        <w:trPr>
          <w:trHeight w:val="527"/>
        </w:trPr>
        <w:tc>
          <w:tcPr>
            <w:tcW w:w="1980" w:type="dxa"/>
          </w:tcPr>
          <w:p>
            <w:pPr>
              <w:rPr>
                <w:b/>
                <w:bCs/>
                <w:color w:val="12003C"/>
                <w:sz w:val="22"/>
                <w:szCs w:val="22"/>
              </w:rPr>
            </w:pPr>
            <w:r>
              <w:rPr>
                <w:b/>
                <w:bCs/>
                <w:color w:val="12003C"/>
                <w:sz w:val="22"/>
                <w:szCs w:val="22"/>
              </w:rPr>
              <w:t>Email address:</w:t>
            </w:r>
            <w:r>
              <w:rPr>
                <w:color w:val="12003C"/>
                <w:sz w:val="22"/>
                <w:szCs w:val="22"/>
              </w:rPr>
              <w:t xml:space="preserve"> </w:t>
            </w:r>
          </w:p>
        </w:tc>
        <w:tc>
          <w:tcPr>
            <w:tcW w:w="8280" w:type="dxa"/>
          </w:tcPr>
          <w:p>
            <w:pPr>
              <w:rPr>
                <w:color w:val="12003C"/>
                <w:sz w:val="22"/>
                <w:szCs w:val="22"/>
              </w:rPr>
            </w:pPr>
            <w:r>
              <w:rPr>
                <w:color w:val="12003C"/>
                <w:sz w:val="22"/>
                <w:szCs w:val="22"/>
              </w:rPr>
              <w:fldChar w:fldCharType="begin">
                <w:ffData>
                  <w:name w:val="Text8"/>
                  <w:enabled/>
                  <w:calcOnExit w:val="0"/>
                  <w:textInput/>
                </w:ffData>
              </w:fldChar>
            </w:r>
            <w:bookmarkStart w:id="4" w:name="Text8"/>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4"/>
          </w:p>
        </w:tc>
      </w:tr>
      <w:tr>
        <w:trPr>
          <w:trHeight w:val="549"/>
        </w:trPr>
        <w:tc>
          <w:tcPr>
            <w:tcW w:w="1980" w:type="dxa"/>
          </w:tcPr>
          <w:p>
            <w:pPr>
              <w:rPr>
                <w:b/>
                <w:bCs/>
                <w:color w:val="12003C"/>
                <w:sz w:val="22"/>
                <w:szCs w:val="22"/>
              </w:rPr>
            </w:pPr>
            <w:r>
              <w:rPr>
                <w:b/>
                <w:bCs/>
                <w:color w:val="12003C"/>
                <w:sz w:val="22"/>
                <w:szCs w:val="22"/>
              </w:rPr>
              <w:t xml:space="preserve">Date of referral: </w:t>
            </w:r>
          </w:p>
        </w:tc>
        <w:tc>
          <w:tcPr>
            <w:tcW w:w="8280" w:type="dxa"/>
          </w:tcPr>
          <w:p>
            <w:pPr>
              <w:rPr>
                <w:color w:val="12003C"/>
                <w:sz w:val="22"/>
                <w:szCs w:val="22"/>
              </w:rPr>
            </w:pPr>
            <w:r>
              <w:rPr>
                <w:color w:val="12003C"/>
                <w:sz w:val="22"/>
                <w:szCs w:val="22"/>
              </w:rPr>
              <w:fldChar w:fldCharType="begin">
                <w:ffData>
                  <w:name w:val="Text7"/>
                  <w:enabled/>
                  <w:calcOnExit w:val="0"/>
                  <w:textInput/>
                </w:ffData>
              </w:fldChar>
            </w:r>
            <w:bookmarkStart w:id="5" w:name="Text7"/>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5"/>
          </w:p>
        </w:tc>
      </w:tr>
    </w:tbl>
    <w:p>
      <w:pPr>
        <w:pStyle w:val="Heading4"/>
        <w:rPr>
          <w:rFonts w:ascii="Arial" w:hAnsi="Arial" w:cs="Arial"/>
          <w:color w:val="12003C"/>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8265"/>
      </w:tblGrid>
      <w:tr>
        <w:trPr>
          <w:trHeight w:val="345"/>
        </w:trPr>
        <w:tc>
          <w:tcPr>
            <w:tcW w:w="10260" w:type="dxa"/>
            <w:gridSpan w:val="2"/>
            <w:shd w:val="clear" w:color="auto" w:fill="E0E0E0"/>
          </w:tcPr>
          <w:p>
            <w:pPr>
              <w:pStyle w:val="Heading4"/>
              <w:rPr>
                <w:rFonts w:ascii="Arial" w:hAnsi="Arial" w:cs="Arial"/>
                <w:color w:val="12003C"/>
                <w:sz w:val="22"/>
                <w:szCs w:val="22"/>
              </w:rPr>
            </w:pPr>
            <w:r>
              <w:rPr>
                <w:rFonts w:ascii="Arial" w:hAnsi="Arial" w:cs="Arial"/>
                <w:color w:val="12003C"/>
                <w:sz w:val="22"/>
                <w:szCs w:val="22"/>
              </w:rPr>
              <w:t>2. Details of person being referred to Channel</w:t>
            </w:r>
          </w:p>
        </w:tc>
      </w:tr>
      <w:tr>
        <w:trPr>
          <w:trHeight w:val="525"/>
        </w:trPr>
        <w:tc>
          <w:tcPr>
            <w:tcW w:w="1995" w:type="dxa"/>
          </w:tcPr>
          <w:p>
            <w:pPr>
              <w:rPr>
                <w:color w:val="12003C"/>
                <w:sz w:val="22"/>
                <w:szCs w:val="22"/>
              </w:rPr>
            </w:pPr>
            <w:r>
              <w:rPr>
                <w:b/>
                <w:bCs/>
                <w:color w:val="12003C"/>
                <w:sz w:val="22"/>
                <w:szCs w:val="22"/>
              </w:rPr>
              <w:t>Name of person being referred:</w:t>
            </w:r>
            <w:r>
              <w:rPr>
                <w:color w:val="12003C"/>
                <w:sz w:val="22"/>
                <w:szCs w:val="22"/>
              </w:rPr>
              <w:t xml:space="preserve"> </w:t>
            </w:r>
          </w:p>
        </w:tc>
        <w:tc>
          <w:tcPr>
            <w:tcW w:w="8265" w:type="dxa"/>
          </w:tcPr>
          <w:p>
            <w:pPr>
              <w:rPr>
                <w:color w:val="12003C"/>
                <w:sz w:val="22"/>
                <w:szCs w:val="22"/>
              </w:rPr>
            </w:pPr>
            <w:r>
              <w:rPr>
                <w:color w:val="12003C"/>
                <w:sz w:val="22"/>
                <w:szCs w:val="22"/>
              </w:rPr>
              <w:fldChar w:fldCharType="begin">
                <w:ffData>
                  <w:name w:val="Text6"/>
                  <w:enabled/>
                  <w:calcOnExit w:val="0"/>
                  <w:textInput/>
                </w:ffData>
              </w:fldChar>
            </w:r>
            <w:bookmarkStart w:id="6" w:name="Text6"/>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6"/>
          </w:p>
        </w:tc>
      </w:tr>
      <w:tr>
        <w:trPr>
          <w:trHeight w:val="525"/>
        </w:trPr>
        <w:tc>
          <w:tcPr>
            <w:tcW w:w="1995" w:type="dxa"/>
          </w:tcPr>
          <w:p>
            <w:pPr>
              <w:rPr>
                <w:b/>
                <w:bCs/>
                <w:color w:val="12003C"/>
                <w:sz w:val="22"/>
                <w:szCs w:val="22"/>
              </w:rPr>
            </w:pPr>
            <w:r>
              <w:rPr>
                <w:b/>
                <w:bCs/>
                <w:color w:val="12003C"/>
                <w:sz w:val="22"/>
                <w:szCs w:val="22"/>
              </w:rPr>
              <w:t xml:space="preserve">Date of birth </w:t>
            </w:r>
          </w:p>
          <w:p>
            <w:pPr>
              <w:rPr>
                <w:color w:val="12003C"/>
                <w:sz w:val="22"/>
                <w:szCs w:val="22"/>
              </w:rPr>
            </w:pPr>
            <w:r>
              <w:rPr>
                <w:b/>
                <w:bCs/>
                <w:color w:val="12003C"/>
                <w:sz w:val="22"/>
                <w:szCs w:val="22"/>
              </w:rPr>
              <w:t xml:space="preserve">(if known): </w:t>
            </w:r>
          </w:p>
        </w:tc>
        <w:tc>
          <w:tcPr>
            <w:tcW w:w="8265" w:type="dxa"/>
          </w:tcPr>
          <w:p>
            <w:pPr>
              <w:rPr>
                <w:color w:val="12003C"/>
                <w:sz w:val="22"/>
                <w:szCs w:val="22"/>
              </w:rPr>
            </w:pPr>
            <w:r>
              <w:rPr>
                <w:color w:val="12003C"/>
                <w:sz w:val="22"/>
                <w:szCs w:val="22"/>
              </w:rPr>
              <w:fldChar w:fldCharType="begin">
                <w:ffData>
                  <w:name w:val="Text5"/>
                  <w:enabled/>
                  <w:calcOnExit w:val="0"/>
                  <w:textInput/>
                </w:ffData>
              </w:fldChar>
            </w:r>
            <w:bookmarkStart w:id="7" w:name="Text5"/>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7"/>
          </w:p>
        </w:tc>
      </w:tr>
      <w:tr>
        <w:trPr>
          <w:trHeight w:val="525"/>
        </w:trPr>
        <w:tc>
          <w:tcPr>
            <w:tcW w:w="1995" w:type="dxa"/>
          </w:tcPr>
          <w:p>
            <w:pPr>
              <w:rPr>
                <w:color w:val="12003C"/>
                <w:sz w:val="22"/>
                <w:szCs w:val="22"/>
              </w:rPr>
            </w:pPr>
            <w:r>
              <w:rPr>
                <w:b/>
                <w:bCs/>
                <w:color w:val="12003C"/>
                <w:sz w:val="22"/>
                <w:szCs w:val="22"/>
              </w:rPr>
              <w:t>Address:</w:t>
            </w:r>
            <w:r>
              <w:rPr>
                <w:color w:val="12003C"/>
                <w:sz w:val="22"/>
                <w:szCs w:val="22"/>
              </w:rPr>
              <w:t xml:space="preserve"> </w:t>
            </w:r>
          </w:p>
        </w:tc>
        <w:tc>
          <w:tcPr>
            <w:tcW w:w="8265" w:type="dxa"/>
          </w:tcPr>
          <w:p>
            <w:pPr>
              <w:rPr>
                <w:color w:val="12003C"/>
                <w:sz w:val="22"/>
                <w:szCs w:val="22"/>
              </w:rPr>
            </w:pPr>
            <w:r>
              <w:rPr>
                <w:color w:val="12003C"/>
                <w:sz w:val="22"/>
                <w:szCs w:val="22"/>
              </w:rPr>
              <w:fldChar w:fldCharType="begin">
                <w:ffData>
                  <w:name w:val="Text4"/>
                  <w:enabled/>
                  <w:calcOnExit w:val="0"/>
                  <w:textInput/>
                </w:ffData>
              </w:fldChar>
            </w:r>
            <w:bookmarkStart w:id="8" w:name="Text4"/>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8"/>
          </w:p>
        </w:tc>
      </w:tr>
      <w:tr>
        <w:trPr>
          <w:trHeight w:val="525"/>
        </w:trPr>
        <w:tc>
          <w:tcPr>
            <w:tcW w:w="1995" w:type="dxa"/>
          </w:tcPr>
          <w:p>
            <w:pPr>
              <w:rPr>
                <w:color w:val="12003C"/>
                <w:sz w:val="22"/>
                <w:szCs w:val="22"/>
              </w:rPr>
            </w:pPr>
            <w:r>
              <w:rPr>
                <w:b/>
                <w:bCs/>
                <w:color w:val="12003C"/>
                <w:sz w:val="22"/>
                <w:szCs w:val="22"/>
              </w:rPr>
              <w:t>Phone number:</w:t>
            </w:r>
            <w:r>
              <w:rPr>
                <w:color w:val="12003C"/>
                <w:sz w:val="22"/>
                <w:szCs w:val="22"/>
              </w:rPr>
              <w:t xml:space="preserve"> </w:t>
            </w:r>
          </w:p>
        </w:tc>
        <w:tc>
          <w:tcPr>
            <w:tcW w:w="8265" w:type="dxa"/>
          </w:tcPr>
          <w:p>
            <w:pPr>
              <w:rPr>
                <w:color w:val="12003C"/>
                <w:sz w:val="22"/>
                <w:szCs w:val="22"/>
              </w:rPr>
            </w:pPr>
            <w:r>
              <w:rPr>
                <w:color w:val="12003C"/>
                <w:sz w:val="22"/>
                <w:szCs w:val="22"/>
              </w:rPr>
              <w:fldChar w:fldCharType="begin">
                <w:ffData>
                  <w:name w:val="Text3"/>
                  <w:enabled/>
                  <w:calcOnExit w:val="0"/>
                  <w:textInput/>
                </w:ffData>
              </w:fldChar>
            </w:r>
            <w:bookmarkStart w:id="9" w:name="Text3"/>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9"/>
          </w:p>
        </w:tc>
      </w:tr>
      <w:tr>
        <w:trPr>
          <w:trHeight w:val="1545"/>
        </w:trPr>
        <w:tc>
          <w:tcPr>
            <w:tcW w:w="1995" w:type="dxa"/>
          </w:tcPr>
          <w:p>
            <w:pPr>
              <w:rPr>
                <w:color w:val="12003C"/>
                <w:sz w:val="22"/>
                <w:szCs w:val="22"/>
              </w:rPr>
            </w:pPr>
            <w:r>
              <w:rPr>
                <w:b/>
                <w:bCs/>
                <w:color w:val="12003C"/>
                <w:sz w:val="22"/>
                <w:szCs w:val="22"/>
              </w:rPr>
              <w:lastRenderedPageBreak/>
              <w:t xml:space="preserve">Details of family members, associates, and friends that may be linked to this activity: </w:t>
            </w:r>
          </w:p>
        </w:tc>
        <w:tc>
          <w:tcPr>
            <w:tcW w:w="8265" w:type="dxa"/>
          </w:tcPr>
          <w:p>
            <w:pPr>
              <w:rPr>
                <w:color w:val="12003C"/>
                <w:sz w:val="22"/>
                <w:szCs w:val="22"/>
              </w:rPr>
            </w:pPr>
            <w:r>
              <w:rPr>
                <w:color w:val="12003C"/>
                <w:sz w:val="22"/>
                <w:szCs w:val="22"/>
              </w:rPr>
              <w:fldChar w:fldCharType="begin">
                <w:ffData>
                  <w:name w:val="Text13"/>
                  <w:enabled/>
                  <w:calcOnExit w:val="0"/>
                  <w:textInput/>
                </w:ffData>
              </w:fldChar>
            </w:r>
            <w:bookmarkStart w:id="10" w:name="Text13"/>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10"/>
          </w:p>
        </w:tc>
      </w:tr>
      <w:tr>
        <w:trPr>
          <w:trHeight w:val="1245"/>
        </w:trPr>
        <w:tc>
          <w:tcPr>
            <w:tcW w:w="1995" w:type="dxa"/>
          </w:tcPr>
          <w:p>
            <w:pPr>
              <w:rPr>
                <w:b/>
                <w:bCs/>
                <w:color w:val="12003C"/>
                <w:sz w:val="22"/>
                <w:szCs w:val="22"/>
              </w:rPr>
            </w:pPr>
            <w:r>
              <w:rPr>
                <w:b/>
                <w:bCs/>
                <w:color w:val="12003C"/>
                <w:sz w:val="22"/>
                <w:szCs w:val="22"/>
              </w:rPr>
              <w:t>Other agencies involved with referral (include names and contact details):</w:t>
            </w:r>
          </w:p>
        </w:tc>
        <w:tc>
          <w:tcPr>
            <w:tcW w:w="8265" w:type="dxa"/>
          </w:tcPr>
          <w:p>
            <w:pPr>
              <w:rPr>
                <w:color w:val="12003C"/>
                <w:sz w:val="22"/>
                <w:szCs w:val="22"/>
              </w:rPr>
            </w:pPr>
            <w:r>
              <w:rPr>
                <w:sz w:val="22"/>
                <w:szCs w:val="22"/>
              </w:rPr>
              <w:fldChar w:fldCharType="begin">
                <w:ffData>
                  <w:name w:val="Text2"/>
                  <w:enabled/>
                  <w:calcOnExit w:val="0"/>
                  <w:textInput/>
                </w:ffData>
              </w:fldChar>
            </w:r>
            <w:bookmarkStart w:id="11" w:name="Text2"/>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1"/>
          </w:p>
        </w:tc>
      </w:tr>
      <w:tr>
        <w:trPr>
          <w:trHeight w:val="690"/>
        </w:trPr>
        <w:tc>
          <w:tcPr>
            <w:tcW w:w="1995" w:type="dxa"/>
          </w:tcPr>
          <w:p>
            <w:pPr>
              <w:rPr>
                <w:b/>
                <w:bCs/>
                <w:color w:val="12003C"/>
                <w:sz w:val="22"/>
                <w:szCs w:val="22"/>
              </w:rPr>
            </w:pPr>
            <w:r>
              <w:rPr>
                <w:b/>
                <w:bCs/>
                <w:color w:val="12003C"/>
                <w:sz w:val="22"/>
                <w:szCs w:val="22"/>
              </w:rPr>
              <w:t xml:space="preserve">School/college attended, place of work, occupation </w:t>
            </w:r>
            <w:proofErr w:type="spellStart"/>
            <w:r>
              <w:rPr>
                <w:b/>
                <w:bCs/>
                <w:color w:val="12003C"/>
                <w:sz w:val="22"/>
                <w:szCs w:val="22"/>
              </w:rPr>
              <w:t>etc</w:t>
            </w:r>
            <w:proofErr w:type="spellEnd"/>
            <w:r>
              <w:rPr>
                <w:color w:val="12003C"/>
                <w:sz w:val="22"/>
                <w:szCs w:val="22"/>
              </w:rPr>
              <w:t>:</w:t>
            </w:r>
          </w:p>
        </w:tc>
        <w:tc>
          <w:tcPr>
            <w:tcW w:w="8265" w:type="dxa"/>
          </w:tcPr>
          <w:p>
            <w:pPr>
              <w:rPr>
                <w:sz w:val="22"/>
                <w:szCs w:val="22"/>
              </w:rPr>
            </w:pPr>
            <w:r>
              <w:rPr>
                <w:sz w:val="22"/>
                <w:szCs w:val="22"/>
              </w:rPr>
              <w:fldChar w:fldCharType="begin">
                <w:ffData>
                  <w:name w:val="Text14"/>
                  <w:enabled/>
                  <w:calcOnExit w:val="0"/>
                  <w:textInput/>
                </w:ffData>
              </w:fldChar>
            </w:r>
            <w:bookmarkStart w:id="12" w:name="Text14"/>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2"/>
          </w:p>
        </w:tc>
      </w:tr>
    </w:tbl>
    <w:p>
      <w:pPr>
        <w:rPr>
          <w:color w:val="12003C"/>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trPr>
          <w:trHeight w:val="300"/>
        </w:trPr>
        <w:tc>
          <w:tcPr>
            <w:tcW w:w="10260" w:type="dxa"/>
            <w:shd w:val="clear" w:color="auto" w:fill="E0E0E0"/>
          </w:tcPr>
          <w:p>
            <w:pPr>
              <w:rPr>
                <w:b/>
                <w:bCs/>
                <w:color w:val="12003C"/>
                <w:sz w:val="22"/>
                <w:szCs w:val="22"/>
              </w:rPr>
            </w:pPr>
            <w:r>
              <w:rPr>
                <w:b/>
                <w:bCs/>
                <w:color w:val="12003C"/>
                <w:sz w:val="22"/>
                <w:szCs w:val="22"/>
              </w:rPr>
              <w:t>3. Reasons for referral</w:t>
            </w:r>
          </w:p>
        </w:tc>
      </w:tr>
      <w:tr>
        <w:trPr>
          <w:trHeight w:val="750"/>
        </w:trPr>
        <w:tc>
          <w:tcPr>
            <w:tcW w:w="10260" w:type="dxa"/>
          </w:tcPr>
          <w:p>
            <w:pPr>
              <w:rPr>
                <w:b/>
                <w:bCs/>
                <w:color w:val="12003C"/>
                <w:sz w:val="22"/>
                <w:szCs w:val="22"/>
              </w:rPr>
            </w:pPr>
            <w:r>
              <w:rPr>
                <w:b/>
                <w:bCs/>
                <w:color w:val="12003C"/>
                <w:sz w:val="22"/>
                <w:szCs w:val="22"/>
              </w:rPr>
              <w:t>Please give as much detail as possible</w:t>
            </w:r>
            <w:r>
              <w:rPr>
                <w:b/>
                <w:bCs/>
                <w:noProof/>
                <w:color w:val="12003C"/>
                <w:sz w:val="22"/>
                <w:szCs w:val="22"/>
                <w:lang w:val="en-US"/>
              </w:rPr>
              <w:t xml:space="preserve"> of why you consider this person to be at risk or vulnerable to extremist violence. This should include any opinions and where approriate, facts or evidence supporting these opinions.</w:t>
            </w:r>
          </w:p>
        </w:tc>
      </w:tr>
      <w:tr>
        <w:trPr>
          <w:trHeight w:val="555"/>
        </w:trPr>
        <w:tc>
          <w:tcPr>
            <w:tcW w:w="10260" w:type="dxa"/>
          </w:tcPr>
          <w:p>
            <w:pPr>
              <w:rPr>
                <w:color w:val="12003C"/>
                <w:sz w:val="22"/>
                <w:szCs w:val="22"/>
              </w:rPr>
            </w:pPr>
            <w:r>
              <w:rPr>
                <w:color w:val="12003C"/>
                <w:sz w:val="22"/>
                <w:szCs w:val="22"/>
              </w:rPr>
              <w:fldChar w:fldCharType="begin">
                <w:ffData>
                  <w:name w:val="Text15"/>
                  <w:enabled/>
                  <w:calcOnExit w:val="0"/>
                  <w:textInput/>
                </w:ffData>
              </w:fldChar>
            </w:r>
            <w:bookmarkStart w:id="13" w:name="Text15"/>
            <w:r>
              <w:rPr>
                <w:color w:val="12003C"/>
                <w:sz w:val="22"/>
                <w:szCs w:val="22"/>
              </w:rPr>
              <w:instrText xml:space="preserve"> FORMTEXT </w:instrText>
            </w:r>
            <w:r>
              <w:rPr>
                <w:color w:val="12003C"/>
                <w:sz w:val="22"/>
                <w:szCs w:val="22"/>
              </w:rPr>
            </w:r>
            <w:r>
              <w:rPr>
                <w:color w:val="12003C"/>
                <w:sz w:val="22"/>
                <w:szCs w:val="22"/>
              </w:rPr>
              <w:fldChar w:fldCharType="separate"/>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noProof/>
                <w:color w:val="12003C"/>
                <w:sz w:val="22"/>
                <w:szCs w:val="22"/>
              </w:rPr>
              <w:t> </w:t>
            </w:r>
            <w:r>
              <w:rPr>
                <w:color w:val="12003C"/>
                <w:sz w:val="22"/>
                <w:szCs w:val="22"/>
              </w:rPr>
              <w:fldChar w:fldCharType="end"/>
            </w:r>
            <w:bookmarkEnd w:id="13"/>
          </w:p>
        </w:tc>
      </w:tr>
    </w:tbl>
    <w:p>
      <w:pPr>
        <w:rPr>
          <w:color w:val="12003C"/>
          <w:sz w:val="22"/>
          <w:szCs w:val="22"/>
        </w:rPr>
      </w:pPr>
    </w:p>
    <w:p>
      <w:pPr>
        <w:tabs>
          <w:tab w:val="left" w:pos="1880"/>
        </w:tabs>
        <w:rPr>
          <w:rStyle w:val="Hyperlink"/>
          <w:b/>
          <w:bCs/>
          <w:sz w:val="22"/>
          <w:szCs w:val="22"/>
        </w:rPr>
        <w:sectPr>
          <w:pgSz w:w="16820" w:h="11900" w:orient="landscape"/>
          <w:pgMar w:top="1440" w:right="720" w:bottom="1440" w:left="720" w:header="706" w:footer="706" w:gutter="0"/>
          <w:cols w:space="708"/>
          <w:docGrid w:linePitch="360"/>
        </w:sectPr>
      </w:pPr>
      <w:r>
        <w:rPr>
          <w:color w:val="12003C"/>
          <w:sz w:val="22"/>
          <w:szCs w:val="22"/>
        </w:rPr>
        <w:t>Thank you for completing the Channel referral form. Please email the form to</w:t>
      </w:r>
      <w:r>
        <w:rPr>
          <w:b/>
          <w:bCs/>
          <w:color w:val="12003C"/>
          <w:sz w:val="22"/>
          <w:szCs w:val="22"/>
        </w:rPr>
        <w:t xml:space="preserve">: </w:t>
      </w:r>
      <w:hyperlink r:id="rId56" w:history="1">
        <w:r>
          <w:rPr>
            <w:rStyle w:val="Hyperlink"/>
            <w:b/>
            <w:bCs/>
            <w:sz w:val="22"/>
            <w:szCs w:val="22"/>
          </w:rPr>
          <w:t>Channel@lincs.pnn.police.u</w:t>
        </w:r>
      </w:hyperlink>
    </w:p>
    <w:p>
      <w:pPr>
        <w:rPr>
          <w:b/>
          <w:sz w:val="22"/>
          <w:szCs w:val="22"/>
          <w:lang w:val="en"/>
        </w:rPr>
      </w:pPr>
      <w:r>
        <w:rPr>
          <w:b/>
          <w:sz w:val="22"/>
          <w:szCs w:val="22"/>
          <w:lang w:val="en"/>
        </w:rPr>
        <w:lastRenderedPageBreak/>
        <w:t>SG SOP 6:  Children Missing in Education</w:t>
      </w:r>
    </w:p>
    <w:p>
      <w:pPr>
        <w:rPr>
          <w:sz w:val="22"/>
          <w:szCs w:val="22"/>
          <w:lang w:val="en"/>
        </w:rPr>
      </w:pPr>
    </w:p>
    <w:p>
      <w:pPr>
        <w:rPr>
          <w:sz w:val="22"/>
          <w:szCs w:val="22"/>
          <w:lang w:val="en"/>
        </w:rPr>
      </w:pPr>
      <w:r>
        <w:rPr>
          <w:sz w:val="22"/>
          <w:szCs w:val="22"/>
          <w:lang w:val="en"/>
        </w:rPr>
        <w:t xml:space="preserve">UTC will pay attention to guidance provided by </w:t>
      </w:r>
      <w:hyperlink r:id="rId57" w:history="1">
        <w:r>
          <w:rPr>
            <w:rStyle w:val="Hyperlink"/>
            <w:sz w:val="22"/>
            <w:szCs w:val="22"/>
            <w:lang w:val="en"/>
          </w:rPr>
          <w:t xml:space="preserve">LSCB joint protocol for missing </w:t>
        </w:r>
        <w:proofErr w:type="spellStart"/>
        <w:r>
          <w:rPr>
            <w:rStyle w:val="Hyperlink"/>
            <w:sz w:val="22"/>
            <w:szCs w:val="22"/>
            <w:lang w:val="en"/>
          </w:rPr>
          <w:t>chidren</w:t>
        </w:r>
        <w:proofErr w:type="spellEnd"/>
        <w:r>
          <w:rPr>
            <w:rStyle w:val="Hyperlink"/>
            <w:sz w:val="22"/>
            <w:szCs w:val="22"/>
            <w:lang w:val="en"/>
          </w:rPr>
          <w:t xml:space="preserve"> and young people</w:t>
        </w:r>
      </w:hyperlink>
      <w:r>
        <w:rPr>
          <w:sz w:val="22"/>
          <w:szCs w:val="22"/>
          <w:lang w:val="en"/>
        </w:rPr>
        <w:t xml:space="preserve"> and </w:t>
      </w:r>
      <w:hyperlink r:id="rId58" w:history="1">
        <w:r>
          <w:rPr>
            <w:rStyle w:val="Hyperlink"/>
            <w:sz w:val="22"/>
            <w:szCs w:val="22"/>
            <w:lang w:val="en"/>
          </w:rPr>
          <w:t xml:space="preserve">Lincolnshire County Council Children Missing </w:t>
        </w:r>
        <w:proofErr w:type="gramStart"/>
        <w:r>
          <w:rPr>
            <w:rStyle w:val="Hyperlink"/>
            <w:sz w:val="22"/>
            <w:szCs w:val="22"/>
            <w:lang w:val="en"/>
          </w:rPr>
          <w:t>From</w:t>
        </w:r>
        <w:proofErr w:type="gramEnd"/>
        <w:r>
          <w:rPr>
            <w:rStyle w:val="Hyperlink"/>
            <w:sz w:val="22"/>
            <w:szCs w:val="22"/>
            <w:lang w:val="en"/>
          </w:rPr>
          <w:t xml:space="preserve"> Education Policy 2014</w:t>
        </w:r>
      </w:hyperlink>
      <w:r>
        <w:rPr>
          <w:sz w:val="22"/>
          <w:szCs w:val="22"/>
          <w:lang w:val="en"/>
        </w:rPr>
        <w:t>.</w:t>
      </w:r>
    </w:p>
    <w:p>
      <w:pPr>
        <w:rPr>
          <w:sz w:val="22"/>
          <w:szCs w:val="22"/>
          <w:lang w:val="en"/>
        </w:rPr>
      </w:pPr>
    </w:p>
    <w:p>
      <w:pPr>
        <w:rPr>
          <w:sz w:val="22"/>
          <w:szCs w:val="22"/>
          <w:lang w:val="en"/>
        </w:rPr>
      </w:pPr>
      <w:r>
        <w:rPr>
          <w:sz w:val="22"/>
          <w:szCs w:val="22"/>
          <w:lang w:val="en"/>
        </w:rPr>
        <w:t>In the first instance, UTC will deal with concerns regarding non-attendance via the Attendance Policy and associated procedures.</w:t>
      </w:r>
    </w:p>
    <w:p>
      <w:pPr>
        <w:rPr>
          <w:sz w:val="22"/>
          <w:szCs w:val="22"/>
          <w:lang w:val="en"/>
        </w:rPr>
      </w:pPr>
    </w:p>
    <w:p>
      <w:pPr>
        <w:pStyle w:val="ListParagraph"/>
        <w:numPr>
          <w:ilvl w:val="0"/>
          <w:numId w:val="47"/>
        </w:numPr>
        <w:rPr>
          <w:sz w:val="22"/>
          <w:szCs w:val="22"/>
          <w:lang w:val="en"/>
        </w:rPr>
      </w:pPr>
      <w:r>
        <w:rPr>
          <w:sz w:val="22"/>
          <w:szCs w:val="22"/>
          <w:lang w:val="en"/>
        </w:rPr>
        <w:t xml:space="preserve">Concerns are raised by staff with the </w:t>
      </w:r>
      <w:proofErr w:type="spellStart"/>
      <w:r>
        <w:rPr>
          <w:sz w:val="22"/>
          <w:szCs w:val="22"/>
          <w:lang w:val="en"/>
        </w:rPr>
        <w:t>Behaviour</w:t>
      </w:r>
      <w:proofErr w:type="spellEnd"/>
      <w:r>
        <w:rPr>
          <w:sz w:val="22"/>
          <w:szCs w:val="22"/>
          <w:lang w:val="en"/>
        </w:rPr>
        <w:t xml:space="preserve"> and Attendance Officer who monitors attendance on a day to day basis.  This includes contacting families and Education Welfare Services (EWS) when necessary.  </w:t>
      </w:r>
    </w:p>
    <w:p>
      <w:pPr>
        <w:rPr>
          <w:sz w:val="22"/>
          <w:szCs w:val="22"/>
          <w:lang w:val="en"/>
        </w:rPr>
      </w:pPr>
    </w:p>
    <w:p>
      <w:pPr>
        <w:rPr>
          <w:sz w:val="22"/>
          <w:szCs w:val="22"/>
          <w:lang w:val="en"/>
        </w:rPr>
      </w:pPr>
      <w:r>
        <w:rPr>
          <w:sz w:val="22"/>
          <w:szCs w:val="22"/>
          <w:lang w:val="en"/>
        </w:rPr>
        <w:t>Where implementation of these procedures fails to make contact with the young person or their parent/</w:t>
      </w:r>
      <w:proofErr w:type="spellStart"/>
      <w:r>
        <w:rPr>
          <w:sz w:val="22"/>
          <w:szCs w:val="22"/>
          <w:lang w:val="en"/>
        </w:rPr>
        <w:t>carer</w:t>
      </w:r>
      <w:proofErr w:type="spellEnd"/>
      <w:r>
        <w:rPr>
          <w:sz w:val="22"/>
          <w:szCs w:val="22"/>
          <w:lang w:val="en"/>
        </w:rPr>
        <w:t>, including home visits by EWS, the BAO should:</w:t>
      </w:r>
    </w:p>
    <w:p>
      <w:pPr>
        <w:rPr>
          <w:sz w:val="22"/>
          <w:szCs w:val="22"/>
          <w:lang w:val="en"/>
        </w:rPr>
      </w:pPr>
    </w:p>
    <w:p>
      <w:pPr>
        <w:pStyle w:val="ListParagraph"/>
        <w:numPr>
          <w:ilvl w:val="0"/>
          <w:numId w:val="47"/>
        </w:numPr>
        <w:rPr>
          <w:sz w:val="22"/>
          <w:szCs w:val="22"/>
          <w:lang w:val="en"/>
        </w:rPr>
      </w:pPr>
      <w:r>
        <w:rPr>
          <w:sz w:val="22"/>
          <w:szCs w:val="22"/>
          <w:lang w:val="en"/>
        </w:rPr>
        <w:t>Inform the DSL at the earliest opportunity, providing a written report of the reasonable enquiries and steps that have been taken to date to locate the young person and engage them in education.</w:t>
      </w:r>
    </w:p>
    <w:p>
      <w:pPr>
        <w:rPr>
          <w:sz w:val="22"/>
          <w:szCs w:val="22"/>
          <w:lang w:val="en"/>
        </w:rPr>
      </w:pPr>
    </w:p>
    <w:p>
      <w:pPr>
        <w:rPr>
          <w:sz w:val="22"/>
          <w:szCs w:val="22"/>
          <w:lang w:val="en"/>
        </w:rPr>
      </w:pPr>
      <w:r>
        <w:rPr>
          <w:sz w:val="22"/>
          <w:szCs w:val="22"/>
          <w:lang w:val="en"/>
        </w:rPr>
        <w:t>The DSL will:</w:t>
      </w:r>
    </w:p>
    <w:p>
      <w:pPr>
        <w:pStyle w:val="ListParagraph"/>
        <w:numPr>
          <w:ilvl w:val="0"/>
          <w:numId w:val="47"/>
        </w:numPr>
        <w:rPr>
          <w:sz w:val="22"/>
          <w:szCs w:val="22"/>
          <w:lang w:val="en"/>
        </w:rPr>
      </w:pPr>
      <w:r>
        <w:rPr>
          <w:sz w:val="22"/>
          <w:szCs w:val="22"/>
          <w:lang w:val="en"/>
        </w:rPr>
        <w:t>Consider what further action should be taken by UTC to locate the whereabouts of the young person including contacting Police and/or Social Services.</w:t>
      </w:r>
    </w:p>
    <w:p>
      <w:pPr>
        <w:pStyle w:val="ListParagraph"/>
        <w:numPr>
          <w:ilvl w:val="0"/>
          <w:numId w:val="47"/>
        </w:numPr>
        <w:rPr>
          <w:sz w:val="22"/>
          <w:szCs w:val="22"/>
          <w:lang w:val="en"/>
        </w:rPr>
      </w:pPr>
      <w:r>
        <w:rPr>
          <w:sz w:val="22"/>
          <w:szCs w:val="22"/>
          <w:lang w:val="en"/>
        </w:rPr>
        <w:t>Where the risk of harm to the young person is assessed to be immediate, the DSL will inform Customer Services line via the process set out in SOP 2.</w:t>
      </w:r>
    </w:p>
    <w:p>
      <w:pPr>
        <w:pStyle w:val="ListParagraph"/>
        <w:numPr>
          <w:ilvl w:val="0"/>
          <w:numId w:val="47"/>
        </w:numPr>
        <w:rPr>
          <w:sz w:val="22"/>
          <w:szCs w:val="22"/>
          <w:lang w:val="en"/>
        </w:rPr>
      </w:pPr>
      <w:r>
        <w:rPr>
          <w:sz w:val="22"/>
          <w:szCs w:val="22"/>
          <w:lang w:val="en"/>
        </w:rPr>
        <w:t>Take any action requested by the Customer Services.</w:t>
      </w:r>
    </w:p>
    <w:p>
      <w:pPr>
        <w:pStyle w:val="ListParagraph"/>
        <w:numPr>
          <w:ilvl w:val="0"/>
          <w:numId w:val="47"/>
        </w:numPr>
        <w:rPr>
          <w:sz w:val="22"/>
          <w:szCs w:val="22"/>
          <w:lang w:val="en"/>
        </w:rPr>
      </w:pPr>
      <w:r>
        <w:rPr>
          <w:sz w:val="22"/>
          <w:szCs w:val="22"/>
          <w:lang w:val="en"/>
        </w:rPr>
        <w:t xml:space="preserve">Make written records of actions and keep all relevant agencies informed. </w:t>
      </w:r>
    </w:p>
    <w:p>
      <w:pPr>
        <w:rPr>
          <w:sz w:val="22"/>
          <w:szCs w:val="22"/>
          <w:lang w:val="en"/>
        </w:rPr>
      </w:pPr>
    </w:p>
    <w:p>
      <w:pPr>
        <w:tabs>
          <w:tab w:val="left" w:pos="1880"/>
        </w:tabs>
        <w:rPr>
          <w:sz w:val="22"/>
          <w:szCs w:val="22"/>
          <w:lang w:val="en"/>
        </w:rPr>
        <w:sectPr>
          <w:pgSz w:w="11900" w:h="16820"/>
          <w:pgMar w:top="720" w:right="1440" w:bottom="720" w:left="1440" w:header="706" w:footer="706" w:gutter="0"/>
          <w:cols w:space="708"/>
          <w:docGrid w:linePitch="360"/>
        </w:sectPr>
      </w:pPr>
    </w:p>
    <w:p>
      <w:pPr>
        <w:pStyle w:val="PlainText"/>
        <w:jc w:val="both"/>
        <w:rPr>
          <w:rFonts w:ascii="Arial" w:hAnsi="Arial" w:cs="Arial"/>
          <w:b/>
          <w:sz w:val="22"/>
          <w:szCs w:val="22"/>
        </w:rPr>
      </w:pPr>
      <w:r>
        <w:rPr>
          <w:rFonts w:ascii="Arial" w:hAnsi="Arial" w:cs="Arial"/>
          <w:b/>
          <w:sz w:val="22"/>
          <w:szCs w:val="22"/>
        </w:rPr>
        <w:lastRenderedPageBreak/>
        <w:t>Further information on Child Sexual Exploitation and Female Genital Mutilation</w:t>
      </w:r>
    </w:p>
    <w:p>
      <w:pPr>
        <w:spacing w:before="9"/>
        <w:rPr>
          <w:rFonts w:eastAsia="Arial"/>
          <w:sz w:val="22"/>
          <w:szCs w:val="22"/>
        </w:rPr>
      </w:pPr>
    </w:p>
    <w:p>
      <w:pPr>
        <w:pStyle w:val="BodyText"/>
        <w:spacing w:line="288" w:lineRule="auto"/>
        <w:ind w:right="130"/>
        <w:rPr>
          <w:spacing w:val="-1"/>
          <w:sz w:val="22"/>
          <w:szCs w:val="22"/>
        </w:rPr>
      </w:pPr>
      <w:r>
        <w:rPr>
          <w:b/>
          <w:spacing w:val="-1"/>
          <w:sz w:val="22"/>
          <w:szCs w:val="22"/>
        </w:rPr>
        <w:t>Child sexual</w:t>
      </w:r>
      <w:r>
        <w:rPr>
          <w:b/>
          <w:sz w:val="22"/>
          <w:szCs w:val="22"/>
        </w:rPr>
        <w:t xml:space="preserve"> </w:t>
      </w:r>
      <w:r>
        <w:rPr>
          <w:b/>
          <w:spacing w:val="-1"/>
          <w:sz w:val="22"/>
          <w:szCs w:val="22"/>
        </w:rPr>
        <w:t>exploitation</w:t>
      </w:r>
      <w:r>
        <w:rPr>
          <w:spacing w:val="-1"/>
          <w:sz w:val="22"/>
          <w:szCs w:val="22"/>
        </w:rPr>
        <w:t xml:space="preserve"> (CSE)</w:t>
      </w:r>
      <w:r>
        <w:rPr>
          <w:spacing w:val="2"/>
          <w:sz w:val="22"/>
          <w:szCs w:val="22"/>
        </w:rPr>
        <w:t xml:space="preserve"> </w:t>
      </w:r>
      <w:r>
        <w:rPr>
          <w:sz w:val="22"/>
          <w:szCs w:val="22"/>
        </w:rPr>
        <w:t xml:space="preserve">involves </w:t>
      </w:r>
      <w:r>
        <w:rPr>
          <w:spacing w:val="-1"/>
          <w:sz w:val="22"/>
          <w:szCs w:val="22"/>
        </w:rPr>
        <w:t>exploitative</w:t>
      </w:r>
      <w:r>
        <w:rPr>
          <w:sz w:val="22"/>
          <w:szCs w:val="22"/>
        </w:rPr>
        <w:t xml:space="preserve"> situations, </w:t>
      </w:r>
      <w:r>
        <w:rPr>
          <w:spacing w:val="-1"/>
          <w:sz w:val="22"/>
          <w:szCs w:val="22"/>
        </w:rPr>
        <w:t>contexts</w:t>
      </w:r>
      <w:r>
        <w:rPr>
          <w:sz w:val="22"/>
          <w:szCs w:val="22"/>
        </w:rPr>
        <w:t xml:space="preserve"> and</w:t>
      </w:r>
      <w:r>
        <w:rPr>
          <w:spacing w:val="-1"/>
          <w:sz w:val="22"/>
          <w:szCs w:val="22"/>
        </w:rPr>
        <w:t xml:space="preserve"> relationships</w:t>
      </w:r>
      <w:r>
        <w:rPr>
          <w:spacing w:val="103"/>
          <w:sz w:val="22"/>
          <w:szCs w:val="22"/>
        </w:rPr>
        <w:t xml:space="preserve"> </w:t>
      </w:r>
      <w:r>
        <w:rPr>
          <w:spacing w:val="-1"/>
          <w:sz w:val="22"/>
          <w:szCs w:val="22"/>
        </w:rPr>
        <w:t>where</w:t>
      </w:r>
      <w:r>
        <w:rPr>
          <w:sz w:val="22"/>
          <w:szCs w:val="22"/>
        </w:rPr>
        <w:t xml:space="preserve"> young </w:t>
      </w:r>
      <w:r>
        <w:rPr>
          <w:spacing w:val="-1"/>
          <w:sz w:val="22"/>
          <w:szCs w:val="22"/>
        </w:rPr>
        <w:t>people</w:t>
      </w:r>
      <w:r>
        <w:rPr>
          <w:sz w:val="22"/>
          <w:szCs w:val="22"/>
        </w:rPr>
        <w:t xml:space="preserve"> receive something (for </w:t>
      </w:r>
      <w:r>
        <w:rPr>
          <w:spacing w:val="-1"/>
          <w:sz w:val="22"/>
          <w:szCs w:val="22"/>
        </w:rPr>
        <w:t>example</w:t>
      </w:r>
      <w:r>
        <w:rPr>
          <w:spacing w:val="1"/>
          <w:sz w:val="22"/>
          <w:szCs w:val="22"/>
        </w:rPr>
        <w:t xml:space="preserve"> </w:t>
      </w:r>
      <w:r>
        <w:rPr>
          <w:sz w:val="22"/>
          <w:szCs w:val="22"/>
        </w:rPr>
        <w:t>food, accommodation, drugs,</w:t>
      </w:r>
      <w:r>
        <w:rPr>
          <w:spacing w:val="27"/>
          <w:sz w:val="22"/>
          <w:szCs w:val="22"/>
        </w:rPr>
        <w:t xml:space="preserve"> </w:t>
      </w:r>
      <w:r>
        <w:rPr>
          <w:spacing w:val="-1"/>
          <w:sz w:val="22"/>
          <w:szCs w:val="22"/>
        </w:rPr>
        <w:t>alcohol,</w:t>
      </w:r>
      <w:r>
        <w:rPr>
          <w:sz w:val="22"/>
          <w:szCs w:val="22"/>
        </w:rPr>
        <w:t xml:space="preserve"> gifts,</w:t>
      </w:r>
      <w:r>
        <w:rPr>
          <w:spacing w:val="1"/>
          <w:sz w:val="22"/>
          <w:szCs w:val="22"/>
        </w:rPr>
        <w:t xml:space="preserve"> </w:t>
      </w:r>
      <w:r>
        <w:rPr>
          <w:sz w:val="22"/>
          <w:szCs w:val="22"/>
        </w:rPr>
        <w:t xml:space="preserve">money </w:t>
      </w:r>
      <w:r>
        <w:rPr>
          <w:spacing w:val="-1"/>
          <w:sz w:val="22"/>
          <w:szCs w:val="22"/>
        </w:rPr>
        <w:t>or</w:t>
      </w:r>
      <w:r>
        <w:rPr>
          <w:sz w:val="22"/>
          <w:szCs w:val="22"/>
        </w:rPr>
        <w:t xml:space="preserve"> in</w:t>
      </w:r>
      <w:r>
        <w:rPr>
          <w:spacing w:val="-1"/>
          <w:sz w:val="22"/>
          <w:szCs w:val="22"/>
        </w:rPr>
        <w:t xml:space="preserve"> </w:t>
      </w:r>
      <w:r>
        <w:rPr>
          <w:sz w:val="22"/>
          <w:szCs w:val="22"/>
        </w:rPr>
        <w:t xml:space="preserve">some </w:t>
      </w:r>
      <w:r>
        <w:rPr>
          <w:spacing w:val="-1"/>
          <w:sz w:val="22"/>
          <w:szCs w:val="22"/>
        </w:rPr>
        <w:t>cases</w:t>
      </w:r>
      <w:r>
        <w:rPr>
          <w:sz w:val="22"/>
          <w:szCs w:val="22"/>
        </w:rPr>
        <w:t xml:space="preserve"> simply affection)</w:t>
      </w:r>
      <w:r>
        <w:rPr>
          <w:spacing w:val="-2"/>
          <w:sz w:val="22"/>
          <w:szCs w:val="22"/>
        </w:rPr>
        <w:t xml:space="preserve"> </w:t>
      </w:r>
      <w:r>
        <w:rPr>
          <w:sz w:val="22"/>
          <w:szCs w:val="22"/>
        </w:rPr>
        <w:t>as a result</w:t>
      </w:r>
      <w:r>
        <w:rPr>
          <w:spacing w:val="-1"/>
          <w:sz w:val="22"/>
          <w:szCs w:val="22"/>
        </w:rPr>
        <w:t xml:space="preserve"> </w:t>
      </w:r>
      <w:r>
        <w:rPr>
          <w:sz w:val="22"/>
          <w:szCs w:val="22"/>
        </w:rPr>
        <w:t xml:space="preserve">of </w:t>
      </w:r>
      <w:r>
        <w:rPr>
          <w:spacing w:val="-1"/>
          <w:sz w:val="22"/>
          <w:szCs w:val="22"/>
        </w:rPr>
        <w:t>engaging</w:t>
      </w:r>
      <w:r>
        <w:rPr>
          <w:sz w:val="22"/>
          <w:szCs w:val="22"/>
        </w:rPr>
        <w:t xml:space="preserve"> in </w:t>
      </w:r>
      <w:r>
        <w:rPr>
          <w:spacing w:val="-1"/>
          <w:sz w:val="22"/>
          <w:szCs w:val="22"/>
        </w:rPr>
        <w:t>sexual</w:t>
      </w:r>
      <w:r>
        <w:rPr>
          <w:spacing w:val="43"/>
          <w:sz w:val="22"/>
          <w:szCs w:val="22"/>
        </w:rPr>
        <w:t xml:space="preserve"> </w:t>
      </w:r>
      <w:r>
        <w:rPr>
          <w:spacing w:val="-1"/>
          <w:sz w:val="22"/>
          <w:szCs w:val="22"/>
        </w:rPr>
        <w:t>activities.</w:t>
      </w:r>
      <w:r>
        <w:rPr>
          <w:sz w:val="22"/>
          <w:szCs w:val="22"/>
        </w:rPr>
        <w:t xml:space="preserve"> </w:t>
      </w:r>
      <w:r>
        <w:rPr>
          <w:spacing w:val="-1"/>
          <w:sz w:val="22"/>
          <w:szCs w:val="22"/>
        </w:rPr>
        <w:t>Sexual</w:t>
      </w:r>
      <w:r>
        <w:rPr>
          <w:sz w:val="22"/>
          <w:szCs w:val="22"/>
        </w:rPr>
        <w:t xml:space="preserve"> </w:t>
      </w:r>
      <w:r>
        <w:rPr>
          <w:spacing w:val="-1"/>
          <w:sz w:val="22"/>
          <w:szCs w:val="22"/>
        </w:rPr>
        <w:t>exploitation</w:t>
      </w:r>
      <w:r>
        <w:rPr>
          <w:sz w:val="22"/>
          <w:szCs w:val="22"/>
        </w:rPr>
        <w:t xml:space="preserve"> can take many forms </w:t>
      </w:r>
      <w:r>
        <w:rPr>
          <w:spacing w:val="-1"/>
          <w:sz w:val="22"/>
          <w:szCs w:val="22"/>
        </w:rPr>
        <w:t>ranging</w:t>
      </w:r>
      <w:r>
        <w:rPr>
          <w:sz w:val="22"/>
          <w:szCs w:val="22"/>
        </w:rPr>
        <w:t xml:space="preserve"> from the </w:t>
      </w:r>
      <w:r>
        <w:rPr>
          <w:spacing w:val="-1"/>
          <w:sz w:val="22"/>
          <w:szCs w:val="22"/>
        </w:rPr>
        <w:t>seemingly</w:t>
      </w:r>
      <w:r>
        <w:rPr>
          <w:spacing w:val="73"/>
          <w:sz w:val="22"/>
          <w:szCs w:val="22"/>
        </w:rPr>
        <w:t xml:space="preserve"> </w:t>
      </w:r>
      <w:r>
        <w:rPr>
          <w:rFonts w:eastAsia="Arial"/>
          <w:spacing w:val="-1"/>
          <w:sz w:val="22"/>
          <w:szCs w:val="22"/>
        </w:rPr>
        <w:t xml:space="preserve">‘consensual’ </w:t>
      </w:r>
      <w:r>
        <w:rPr>
          <w:rFonts w:eastAsia="Arial"/>
          <w:sz w:val="22"/>
          <w:szCs w:val="22"/>
        </w:rPr>
        <w:t>relationship</w:t>
      </w:r>
      <w:r>
        <w:rPr>
          <w:rFonts w:eastAsia="Arial"/>
          <w:spacing w:val="-1"/>
          <w:sz w:val="22"/>
          <w:szCs w:val="22"/>
        </w:rPr>
        <w:t xml:space="preserve"> </w:t>
      </w:r>
      <w:r>
        <w:rPr>
          <w:rFonts w:eastAsia="Arial"/>
          <w:sz w:val="22"/>
          <w:szCs w:val="22"/>
        </w:rPr>
        <w:t>where sex</w:t>
      </w:r>
      <w:r>
        <w:rPr>
          <w:rFonts w:eastAsia="Arial"/>
          <w:spacing w:val="-2"/>
          <w:sz w:val="22"/>
          <w:szCs w:val="22"/>
        </w:rPr>
        <w:t xml:space="preserve"> </w:t>
      </w:r>
      <w:r>
        <w:rPr>
          <w:rFonts w:eastAsia="Arial"/>
          <w:sz w:val="22"/>
          <w:szCs w:val="22"/>
        </w:rPr>
        <w:t xml:space="preserve">is </w:t>
      </w:r>
      <w:r>
        <w:rPr>
          <w:rFonts w:eastAsia="Arial"/>
          <w:spacing w:val="-1"/>
          <w:sz w:val="22"/>
          <w:szCs w:val="22"/>
        </w:rPr>
        <w:t>exchanged</w:t>
      </w:r>
      <w:r>
        <w:rPr>
          <w:rFonts w:eastAsia="Arial"/>
          <w:sz w:val="22"/>
          <w:szCs w:val="22"/>
        </w:rPr>
        <w:t xml:space="preserve"> for </w:t>
      </w:r>
      <w:r>
        <w:rPr>
          <w:rFonts w:eastAsia="Arial"/>
          <w:spacing w:val="-1"/>
          <w:sz w:val="22"/>
          <w:szCs w:val="22"/>
        </w:rPr>
        <w:t>affection</w:t>
      </w:r>
      <w:r>
        <w:rPr>
          <w:rFonts w:eastAsia="Arial"/>
          <w:sz w:val="22"/>
          <w:szCs w:val="22"/>
        </w:rPr>
        <w:t xml:space="preserve"> or </w:t>
      </w:r>
      <w:r>
        <w:rPr>
          <w:rFonts w:eastAsia="Arial"/>
          <w:spacing w:val="-1"/>
          <w:sz w:val="22"/>
          <w:szCs w:val="22"/>
        </w:rPr>
        <w:t>gifts,</w:t>
      </w:r>
      <w:r>
        <w:rPr>
          <w:rFonts w:eastAsia="Arial"/>
          <w:sz w:val="22"/>
          <w:szCs w:val="22"/>
        </w:rPr>
        <w:t xml:space="preserve"> to</w:t>
      </w:r>
      <w:r>
        <w:rPr>
          <w:rFonts w:eastAsia="Arial"/>
          <w:spacing w:val="-1"/>
          <w:sz w:val="22"/>
          <w:szCs w:val="22"/>
        </w:rPr>
        <w:t xml:space="preserve"> </w:t>
      </w:r>
      <w:r>
        <w:rPr>
          <w:rFonts w:eastAsia="Arial"/>
          <w:sz w:val="22"/>
          <w:szCs w:val="22"/>
        </w:rPr>
        <w:t>serious</w:t>
      </w:r>
      <w:r>
        <w:rPr>
          <w:rFonts w:eastAsia="Arial"/>
          <w:spacing w:val="63"/>
          <w:sz w:val="22"/>
          <w:szCs w:val="22"/>
        </w:rPr>
        <w:t xml:space="preserve"> </w:t>
      </w:r>
      <w:r>
        <w:rPr>
          <w:spacing w:val="-1"/>
          <w:sz w:val="22"/>
          <w:szCs w:val="22"/>
        </w:rPr>
        <w:t>organised</w:t>
      </w:r>
      <w:r>
        <w:rPr>
          <w:sz w:val="22"/>
          <w:szCs w:val="22"/>
        </w:rPr>
        <w:t xml:space="preserve"> crime by </w:t>
      </w:r>
      <w:r>
        <w:rPr>
          <w:spacing w:val="-1"/>
          <w:sz w:val="22"/>
          <w:szCs w:val="22"/>
        </w:rPr>
        <w:t>gangs</w:t>
      </w:r>
      <w:r>
        <w:rPr>
          <w:sz w:val="22"/>
          <w:szCs w:val="22"/>
        </w:rPr>
        <w:t xml:space="preserve"> and groups. What marks</w:t>
      </w:r>
      <w:r>
        <w:rPr>
          <w:spacing w:val="-2"/>
          <w:sz w:val="22"/>
          <w:szCs w:val="22"/>
        </w:rPr>
        <w:t xml:space="preserve"> </w:t>
      </w:r>
      <w:r>
        <w:rPr>
          <w:sz w:val="22"/>
          <w:szCs w:val="22"/>
        </w:rPr>
        <w:t>out</w:t>
      </w:r>
      <w:r>
        <w:rPr>
          <w:spacing w:val="-1"/>
          <w:sz w:val="22"/>
          <w:szCs w:val="22"/>
        </w:rPr>
        <w:t xml:space="preserve"> exploitation</w:t>
      </w:r>
      <w:r>
        <w:rPr>
          <w:sz w:val="22"/>
          <w:szCs w:val="22"/>
        </w:rPr>
        <w:t xml:space="preserve"> is an </w:t>
      </w:r>
      <w:r>
        <w:rPr>
          <w:spacing w:val="-1"/>
          <w:sz w:val="22"/>
          <w:szCs w:val="22"/>
        </w:rPr>
        <w:t xml:space="preserve">imbalance </w:t>
      </w:r>
      <w:r>
        <w:rPr>
          <w:sz w:val="22"/>
          <w:szCs w:val="22"/>
        </w:rPr>
        <w:t>of</w:t>
      </w:r>
      <w:r>
        <w:rPr>
          <w:spacing w:val="63"/>
          <w:sz w:val="22"/>
          <w:szCs w:val="22"/>
        </w:rPr>
        <w:t xml:space="preserve"> </w:t>
      </w:r>
      <w:r>
        <w:rPr>
          <w:spacing w:val="-1"/>
          <w:sz w:val="22"/>
          <w:szCs w:val="22"/>
        </w:rPr>
        <w:t>power</w:t>
      </w:r>
      <w:r>
        <w:rPr>
          <w:sz w:val="22"/>
          <w:szCs w:val="22"/>
        </w:rPr>
        <w:t xml:space="preserve"> in the </w:t>
      </w:r>
      <w:r>
        <w:rPr>
          <w:spacing w:val="-1"/>
          <w:sz w:val="22"/>
          <w:szCs w:val="22"/>
        </w:rPr>
        <w:t>relationship.</w:t>
      </w:r>
      <w:r>
        <w:rPr>
          <w:sz w:val="22"/>
          <w:szCs w:val="22"/>
        </w:rPr>
        <w:t xml:space="preserve"> The</w:t>
      </w:r>
      <w:r>
        <w:rPr>
          <w:spacing w:val="-1"/>
          <w:sz w:val="22"/>
          <w:szCs w:val="22"/>
        </w:rPr>
        <w:t xml:space="preserve"> </w:t>
      </w:r>
      <w:r>
        <w:rPr>
          <w:sz w:val="22"/>
          <w:szCs w:val="22"/>
        </w:rPr>
        <w:t>perpetrator</w:t>
      </w:r>
      <w:r>
        <w:rPr>
          <w:spacing w:val="-1"/>
          <w:sz w:val="22"/>
          <w:szCs w:val="22"/>
        </w:rPr>
        <w:t xml:space="preserve"> always</w:t>
      </w:r>
      <w:r>
        <w:rPr>
          <w:sz w:val="22"/>
          <w:szCs w:val="22"/>
        </w:rPr>
        <w:t xml:space="preserve"> </w:t>
      </w:r>
      <w:r>
        <w:rPr>
          <w:spacing w:val="-1"/>
          <w:sz w:val="22"/>
          <w:szCs w:val="22"/>
        </w:rPr>
        <w:t>holds</w:t>
      </w:r>
      <w:r>
        <w:rPr>
          <w:sz w:val="22"/>
          <w:szCs w:val="22"/>
        </w:rPr>
        <w:t xml:space="preserve"> some kind of power over the</w:t>
      </w:r>
      <w:r>
        <w:rPr>
          <w:spacing w:val="49"/>
          <w:sz w:val="22"/>
          <w:szCs w:val="22"/>
        </w:rPr>
        <w:t xml:space="preserve"> </w:t>
      </w:r>
      <w:r>
        <w:rPr>
          <w:sz w:val="22"/>
          <w:szCs w:val="22"/>
        </w:rPr>
        <w:t xml:space="preserve">victim, </w:t>
      </w:r>
      <w:r>
        <w:rPr>
          <w:spacing w:val="-1"/>
          <w:sz w:val="22"/>
          <w:szCs w:val="22"/>
        </w:rPr>
        <w:t>which</w:t>
      </w:r>
      <w:r>
        <w:rPr>
          <w:sz w:val="22"/>
          <w:szCs w:val="22"/>
        </w:rPr>
        <w:t xml:space="preserve"> increases as the </w:t>
      </w:r>
      <w:r>
        <w:rPr>
          <w:spacing w:val="-1"/>
          <w:sz w:val="22"/>
          <w:szCs w:val="22"/>
        </w:rPr>
        <w:t>exploitative</w:t>
      </w:r>
      <w:r>
        <w:rPr>
          <w:sz w:val="22"/>
          <w:szCs w:val="22"/>
        </w:rPr>
        <w:t xml:space="preserve"> </w:t>
      </w:r>
      <w:r>
        <w:rPr>
          <w:spacing w:val="-1"/>
          <w:sz w:val="22"/>
          <w:szCs w:val="22"/>
        </w:rPr>
        <w:t>relationship</w:t>
      </w:r>
      <w:r>
        <w:rPr>
          <w:sz w:val="22"/>
          <w:szCs w:val="22"/>
        </w:rPr>
        <w:t xml:space="preserve"> </w:t>
      </w:r>
      <w:r>
        <w:rPr>
          <w:spacing w:val="-1"/>
          <w:sz w:val="22"/>
          <w:szCs w:val="22"/>
        </w:rPr>
        <w:t>develops.</w:t>
      </w:r>
      <w:r>
        <w:rPr>
          <w:sz w:val="22"/>
          <w:szCs w:val="22"/>
        </w:rPr>
        <w:t xml:space="preserve"> </w:t>
      </w:r>
      <w:r>
        <w:rPr>
          <w:spacing w:val="-1"/>
          <w:sz w:val="22"/>
          <w:szCs w:val="22"/>
        </w:rPr>
        <w:t>Sexual</w:t>
      </w:r>
      <w:r>
        <w:rPr>
          <w:sz w:val="22"/>
          <w:szCs w:val="22"/>
        </w:rPr>
        <w:t xml:space="preserve"> </w:t>
      </w:r>
      <w:r>
        <w:rPr>
          <w:spacing w:val="-1"/>
          <w:sz w:val="22"/>
          <w:szCs w:val="22"/>
        </w:rPr>
        <w:t>exploitation</w:t>
      </w:r>
      <w:r>
        <w:rPr>
          <w:spacing w:val="95"/>
          <w:sz w:val="22"/>
          <w:szCs w:val="22"/>
        </w:rPr>
        <w:t xml:space="preserve"> </w:t>
      </w:r>
      <w:r>
        <w:rPr>
          <w:spacing w:val="-1"/>
          <w:sz w:val="22"/>
          <w:szCs w:val="22"/>
        </w:rPr>
        <w:t>involves</w:t>
      </w:r>
      <w:r>
        <w:rPr>
          <w:sz w:val="22"/>
          <w:szCs w:val="22"/>
        </w:rPr>
        <w:t xml:space="preserve"> varying degrees of </w:t>
      </w:r>
      <w:r>
        <w:rPr>
          <w:spacing w:val="-1"/>
          <w:sz w:val="22"/>
          <w:szCs w:val="22"/>
        </w:rPr>
        <w:t>coercion,</w:t>
      </w:r>
      <w:r>
        <w:rPr>
          <w:sz w:val="22"/>
          <w:szCs w:val="22"/>
        </w:rPr>
        <w:t xml:space="preserve"> </w:t>
      </w:r>
      <w:r>
        <w:rPr>
          <w:spacing w:val="-1"/>
          <w:sz w:val="22"/>
          <w:szCs w:val="22"/>
        </w:rPr>
        <w:t>intimidation</w:t>
      </w:r>
      <w:r>
        <w:rPr>
          <w:sz w:val="22"/>
          <w:szCs w:val="22"/>
        </w:rPr>
        <w:t xml:space="preserve"> or </w:t>
      </w:r>
      <w:r>
        <w:rPr>
          <w:spacing w:val="-1"/>
          <w:sz w:val="22"/>
          <w:szCs w:val="22"/>
        </w:rPr>
        <w:t>enticement,</w:t>
      </w:r>
      <w:r>
        <w:rPr>
          <w:sz w:val="22"/>
          <w:szCs w:val="22"/>
        </w:rPr>
        <w:t xml:space="preserve"> </w:t>
      </w:r>
      <w:r>
        <w:rPr>
          <w:spacing w:val="-1"/>
          <w:sz w:val="22"/>
          <w:szCs w:val="22"/>
        </w:rPr>
        <w:t>including</w:t>
      </w:r>
      <w:r>
        <w:rPr>
          <w:sz w:val="22"/>
          <w:szCs w:val="22"/>
        </w:rPr>
        <w:t xml:space="preserve"> unwanted</w:t>
      </w:r>
      <w:r>
        <w:rPr>
          <w:spacing w:val="87"/>
          <w:sz w:val="22"/>
          <w:szCs w:val="22"/>
        </w:rPr>
        <w:t xml:space="preserve"> </w:t>
      </w:r>
      <w:r>
        <w:rPr>
          <w:sz w:val="22"/>
          <w:szCs w:val="22"/>
        </w:rPr>
        <w:t xml:space="preserve">pressure </w:t>
      </w:r>
      <w:r>
        <w:rPr>
          <w:spacing w:val="-1"/>
          <w:sz w:val="22"/>
          <w:szCs w:val="22"/>
        </w:rPr>
        <w:t>from</w:t>
      </w:r>
      <w:r>
        <w:rPr>
          <w:sz w:val="22"/>
          <w:szCs w:val="22"/>
        </w:rPr>
        <w:t xml:space="preserve"> </w:t>
      </w:r>
      <w:r>
        <w:rPr>
          <w:spacing w:val="-1"/>
          <w:sz w:val="22"/>
          <w:szCs w:val="22"/>
        </w:rPr>
        <w:t>peers</w:t>
      </w:r>
      <w:r>
        <w:rPr>
          <w:sz w:val="22"/>
          <w:szCs w:val="22"/>
        </w:rPr>
        <w:t xml:space="preserve"> to</w:t>
      </w:r>
      <w:r>
        <w:rPr>
          <w:spacing w:val="-1"/>
          <w:sz w:val="22"/>
          <w:szCs w:val="22"/>
        </w:rPr>
        <w:t xml:space="preserve"> </w:t>
      </w:r>
      <w:r>
        <w:rPr>
          <w:sz w:val="22"/>
          <w:szCs w:val="22"/>
        </w:rPr>
        <w:t xml:space="preserve">have </w:t>
      </w:r>
      <w:r>
        <w:rPr>
          <w:spacing w:val="-1"/>
          <w:sz w:val="22"/>
          <w:szCs w:val="22"/>
        </w:rPr>
        <w:t>sex,</w:t>
      </w:r>
      <w:r>
        <w:rPr>
          <w:spacing w:val="3"/>
          <w:sz w:val="22"/>
          <w:szCs w:val="22"/>
        </w:rPr>
        <w:t xml:space="preserve"> </w:t>
      </w:r>
      <w:r>
        <w:rPr>
          <w:spacing w:val="-1"/>
          <w:sz w:val="22"/>
          <w:szCs w:val="22"/>
        </w:rPr>
        <w:t>sexual</w:t>
      </w:r>
      <w:r>
        <w:rPr>
          <w:sz w:val="22"/>
          <w:szCs w:val="22"/>
        </w:rPr>
        <w:t xml:space="preserve"> </w:t>
      </w:r>
      <w:r>
        <w:rPr>
          <w:spacing w:val="-1"/>
          <w:sz w:val="22"/>
          <w:szCs w:val="22"/>
        </w:rPr>
        <w:t>bullying</w:t>
      </w:r>
      <w:r>
        <w:rPr>
          <w:sz w:val="22"/>
          <w:szCs w:val="22"/>
        </w:rPr>
        <w:t xml:space="preserve"> including cyberbullying and grooming.</w:t>
      </w:r>
      <w:r>
        <w:rPr>
          <w:spacing w:val="41"/>
          <w:sz w:val="22"/>
          <w:szCs w:val="22"/>
        </w:rPr>
        <w:t xml:space="preserve"> </w:t>
      </w:r>
      <w:r>
        <w:rPr>
          <w:spacing w:val="-1"/>
          <w:sz w:val="22"/>
          <w:szCs w:val="22"/>
        </w:rPr>
        <w:t>However,</w:t>
      </w:r>
      <w:r>
        <w:rPr>
          <w:sz w:val="22"/>
          <w:szCs w:val="22"/>
        </w:rPr>
        <w:t xml:space="preserve"> it</w:t>
      </w:r>
      <w:r>
        <w:rPr>
          <w:spacing w:val="-2"/>
          <w:sz w:val="22"/>
          <w:szCs w:val="22"/>
        </w:rPr>
        <w:t xml:space="preserve"> is </w:t>
      </w:r>
      <w:r>
        <w:rPr>
          <w:sz w:val="22"/>
          <w:szCs w:val="22"/>
        </w:rPr>
        <w:t>also important to</w:t>
      </w:r>
      <w:r>
        <w:rPr>
          <w:spacing w:val="-1"/>
          <w:sz w:val="22"/>
          <w:szCs w:val="22"/>
        </w:rPr>
        <w:t xml:space="preserve"> recognise </w:t>
      </w:r>
      <w:r>
        <w:rPr>
          <w:sz w:val="22"/>
          <w:szCs w:val="22"/>
        </w:rPr>
        <w:t xml:space="preserve">that some young </w:t>
      </w:r>
      <w:r>
        <w:rPr>
          <w:spacing w:val="-1"/>
          <w:sz w:val="22"/>
          <w:szCs w:val="22"/>
        </w:rPr>
        <w:t xml:space="preserve">people </w:t>
      </w:r>
      <w:r>
        <w:rPr>
          <w:sz w:val="22"/>
          <w:szCs w:val="22"/>
        </w:rPr>
        <w:t xml:space="preserve">who are being </w:t>
      </w:r>
      <w:r>
        <w:rPr>
          <w:spacing w:val="-1"/>
          <w:sz w:val="22"/>
          <w:szCs w:val="22"/>
        </w:rPr>
        <w:t>sexually</w:t>
      </w:r>
      <w:r>
        <w:rPr>
          <w:spacing w:val="49"/>
          <w:sz w:val="22"/>
          <w:szCs w:val="22"/>
        </w:rPr>
        <w:t xml:space="preserve"> </w:t>
      </w:r>
      <w:r>
        <w:rPr>
          <w:spacing w:val="-1"/>
          <w:sz w:val="22"/>
          <w:szCs w:val="22"/>
        </w:rPr>
        <w:t>exploited</w:t>
      </w:r>
      <w:r>
        <w:rPr>
          <w:sz w:val="22"/>
          <w:szCs w:val="22"/>
        </w:rPr>
        <w:t xml:space="preserve"> do not</w:t>
      </w:r>
      <w:r>
        <w:rPr>
          <w:spacing w:val="1"/>
          <w:sz w:val="22"/>
          <w:szCs w:val="22"/>
        </w:rPr>
        <w:t xml:space="preserve"> </w:t>
      </w:r>
      <w:r>
        <w:rPr>
          <w:spacing w:val="-1"/>
          <w:sz w:val="22"/>
          <w:szCs w:val="22"/>
        </w:rPr>
        <w:t>exhibit</w:t>
      </w:r>
      <w:r>
        <w:rPr>
          <w:sz w:val="22"/>
          <w:szCs w:val="22"/>
        </w:rPr>
        <w:t xml:space="preserve"> any </w:t>
      </w:r>
      <w:r>
        <w:rPr>
          <w:spacing w:val="-1"/>
          <w:sz w:val="22"/>
          <w:szCs w:val="22"/>
        </w:rPr>
        <w:t>external</w:t>
      </w:r>
      <w:r>
        <w:rPr>
          <w:sz w:val="22"/>
          <w:szCs w:val="22"/>
        </w:rPr>
        <w:t xml:space="preserve"> </w:t>
      </w:r>
      <w:r>
        <w:rPr>
          <w:spacing w:val="-1"/>
          <w:sz w:val="22"/>
          <w:szCs w:val="22"/>
        </w:rPr>
        <w:t>signs</w:t>
      </w:r>
      <w:r>
        <w:rPr>
          <w:sz w:val="22"/>
          <w:szCs w:val="22"/>
        </w:rPr>
        <w:t xml:space="preserve"> of</w:t>
      </w:r>
      <w:r>
        <w:rPr>
          <w:spacing w:val="1"/>
          <w:sz w:val="22"/>
          <w:szCs w:val="22"/>
        </w:rPr>
        <w:t xml:space="preserve"> </w:t>
      </w:r>
      <w:r>
        <w:rPr>
          <w:sz w:val="22"/>
          <w:szCs w:val="22"/>
        </w:rPr>
        <w:t xml:space="preserve">this </w:t>
      </w:r>
      <w:r>
        <w:rPr>
          <w:spacing w:val="-1"/>
          <w:sz w:val="22"/>
          <w:szCs w:val="22"/>
        </w:rPr>
        <w:t>abuse.</w:t>
      </w:r>
    </w:p>
    <w:p>
      <w:pPr>
        <w:pStyle w:val="BodyText"/>
        <w:spacing w:line="288" w:lineRule="auto"/>
        <w:ind w:right="130"/>
        <w:rPr>
          <w:sz w:val="22"/>
          <w:szCs w:val="22"/>
        </w:rPr>
      </w:pPr>
    </w:p>
    <w:p>
      <w:pPr>
        <w:rPr>
          <w:rFonts w:eastAsia="Arial"/>
          <w:sz w:val="22"/>
          <w:szCs w:val="22"/>
        </w:rPr>
      </w:pPr>
    </w:p>
    <w:p>
      <w:pPr>
        <w:pStyle w:val="CommentText"/>
        <w:rPr>
          <w:sz w:val="22"/>
          <w:szCs w:val="22"/>
        </w:rPr>
      </w:pPr>
      <w:r>
        <w:rPr>
          <w:b/>
          <w:spacing w:val="-1"/>
          <w:sz w:val="22"/>
          <w:szCs w:val="22"/>
        </w:rPr>
        <w:t>Female</w:t>
      </w:r>
      <w:r>
        <w:rPr>
          <w:b/>
          <w:sz w:val="22"/>
          <w:szCs w:val="22"/>
        </w:rPr>
        <w:t xml:space="preserve"> Genital</w:t>
      </w:r>
      <w:r>
        <w:rPr>
          <w:b/>
          <w:spacing w:val="-1"/>
          <w:sz w:val="22"/>
          <w:szCs w:val="22"/>
        </w:rPr>
        <w:t xml:space="preserve"> Mutilation</w:t>
      </w:r>
      <w:r>
        <w:rPr>
          <w:spacing w:val="-1"/>
          <w:sz w:val="22"/>
          <w:szCs w:val="22"/>
        </w:rPr>
        <w:t xml:space="preserve"> </w:t>
      </w:r>
      <w:r>
        <w:rPr>
          <w:sz w:val="22"/>
          <w:szCs w:val="22"/>
        </w:rPr>
        <w:t>(FGM):</w:t>
      </w:r>
      <w:r>
        <w:rPr>
          <w:spacing w:val="-1"/>
          <w:sz w:val="22"/>
          <w:szCs w:val="22"/>
        </w:rPr>
        <w:t xml:space="preserve"> </w:t>
      </w:r>
      <w:r>
        <w:rPr>
          <w:sz w:val="22"/>
          <w:szCs w:val="22"/>
        </w:rPr>
        <w:t>UTC staff are alert to the</w:t>
      </w:r>
      <w:r>
        <w:rPr>
          <w:spacing w:val="-1"/>
          <w:sz w:val="22"/>
          <w:szCs w:val="22"/>
        </w:rPr>
        <w:t xml:space="preserve"> possibility</w:t>
      </w:r>
      <w:r>
        <w:rPr>
          <w:spacing w:val="1"/>
          <w:sz w:val="22"/>
          <w:szCs w:val="22"/>
        </w:rPr>
        <w:t xml:space="preserve"> </w:t>
      </w:r>
      <w:r>
        <w:rPr>
          <w:sz w:val="22"/>
          <w:szCs w:val="22"/>
        </w:rPr>
        <w:t xml:space="preserve">of a girl </w:t>
      </w:r>
      <w:r>
        <w:rPr>
          <w:spacing w:val="-1"/>
          <w:sz w:val="22"/>
          <w:szCs w:val="22"/>
        </w:rPr>
        <w:t>being</w:t>
      </w:r>
      <w:r>
        <w:rPr>
          <w:sz w:val="22"/>
          <w:szCs w:val="22"/>
        </w:rPr>
        <w:t xml:space="preserve"> at risk </w:t>
      </w:r>
      <w:r>
        <w:rPr>
          <w:spacing w:val="-1"/>
          <w:sz w:val="22"/>
          <w:szCs w:val="22"/>
        </w:rPr>
        <w:t>of</w:t>
      </w:r>
      <w:r>
        <w:rPr>
          <w:spacing w:val="49"/>
          <w:sz w:val="22"/>
          <w:szCs w:val="22"/>
        </w:rPr>
        <w:t xml:space="preserve"> </w:t>
      </w:r>
      <w:r>
        <w:rPr>
          <w:sz w:val="22"/>
          <w:szCs w:val="22"/>
        </w:rPr>
        <w:t xml:space="preserve">FGM, or </w:t>
      </w:r>
      <w:r>
        <w:rPr>
          <w:spacing w:val="-1"/>
          <w:sz w:val="22"/>
          <w:szCs w:val="22"/>
        </w:rPr>
        <w:t>already</w:t>
      </w:r>
      <w:r>
        <w:rPr>
          <w:sz w:val="22"/>
          <w:szCs w:val="22"/>
        </w:rPr>
        <w:t xml:space="preserve"> having suffered</w:t>
      </w:r>
      <w:r>
        <w:rPr>
          <w:spacing w:val="-2"/>
          <w:sz w:val="22"/>
          <w:szCs w:val="22"/>
        </w:rPr>
        <w:t xml:space="preserve"> </w:t>
      </w:r>
      <w:r>
        <w:rPr>
          <w:sz w:val="22"/>
          <w:szCs w:val="22"/>
        </w:rPr>
        <w:t xml:space="preserve">FGM. </w:t>
      </w:r>
      <w:r>
        <w:rPr>
          <w:spacing w:val="-1"/>
          <w:sz w:val="22"/>
          <w:szCs w:val="22"/>
        </w:rPr>
        <w:t>There</w:t>
      </w:r>
      <w:r>
        <w:rPr>
          <w:sz w:val="22"/>
          <w:szCs w:val="22"/>
        </w:rPr>
        <w:t xml:space="preserve"> are a </w:t>
      </w:r>
      <w:r>
        <w:rPr>
          <w:spacing w:val="-1"/>
          <w:sz w:val="22"/>
          <w:szCs w:val="22"/>
        </w:rPr>
        <w:t>range</w:t>
      </w:r>
      <w:r>
        <w:rPr>
          <w:sz w:val="22"/>
          <w:szCs w:val="22"/>
        </w:rPr>
        <w:t xml:space="preserve"> of potential</w:t>
      </w:r>
      <w:r>
        <w:rPr>
          <w:spacing w:val="-2"/>
          <w:sz w:val="22"/>
          <w:szCs w:val="22"/>
        </w:rPr>
        <w:t xml:space="preserve"> </w:t>
      </w:r>
      <w:r>
        <w:rPr>
          <w:sz w:val="22"/>
          <w:szCs w:val="22"/>
        </w:rPr>
        <w:t>indicators that a</w:t>
      </w:r>
      <w:r>
        <w:rPr>
          <w:spacing w:val="-2"/>
          <w:sz w:val="22"/>
          <w:szCs w:val="22"/>
        </w:rPr>
        <w:t xml:space="preserve"> </w:t>
      </w:r>
      <w:r>
        <w:rPr>
          <w:sz w:val="22"/>
          <w:szCs w:val="22"/>
        </w:rPr>
        <w:t>child</w:t>
      </w:r>
      <w:r>
        <w:rPr>
          <w:spacing w:val="30"/>
          <w:sz w:val="22"/>
          <w:szCs w:val="22"/>
        </w:rPr>
        <w:t xml:space="preserve"> </w:t>
      </w:r>
      <w:r>
        <w:rPr>
          <w:sz w:val="22"/>
          <w:szCs w:val="22"/>
        </w:rPr>
        <w:t>or young person may</w:t>
      </w:r>
      <w:r>
        <w:rPr>
          <w:spacing w:val="-1"/>
          <w:sz w:val="22"/>
          <w:szCs w:val="22"/>
        </w:rPr>
        <w:t xml:space="preserve"> </w:t>
      </w:r>
      <w:r>
        <w:rPr>
          <w:sz w:val="22"/>
          <w:szCs w:val="22"/>
        </w:rPr>
        <w:t xml:space="preserve">be at risk </w:t>
      </w:r>
      <w:r>
        <w:rPr>
          <w:spacing w:val="-1"/>
          <w:sz w:val="22"/>
          <w:szCs w:val="22"/>
        </w:rPr>
        <w:t>of</w:t>
      </w:r>
      <w:r>
        <w:rPr>
          <w:sz w:val="22"/>
          <w:szCs w:val="22"/>
        </w:rPr>
        <w:t xml:space="preserve"> </w:t>
      </w:r>
      <w:r>
        <w:rPr>
          <w:spacing w:val="-1"/>
          <w:sz w:val="22"/>
          <w:szCs w:val="22"/>
        </w:rPr>
        <w:t>FGM,</w:t>
      </w:r>
      <w:r>
        <w:rPr>
          <w:sz w:val="22"/>
          <w:szCs w:val="22"/>
        </w:rPr>
        <w:t xml:space="preserve"> </w:t>
      </w:r>
      <w:r>
        <w:rPr>
          <w:spacing w:val="-1"/>
          <w:sz w:val="22"/>
          <w:szCs w:val="22"/>
        </w:rPr>
        <w:t>which</w:t>
      </w:r>
      <w:r>
        <w:rPr>
          <w:sz w:val="22"/>
          <w:szCs w:val="22"/>
        </w:rPr>
        <w:t xml:space="preserve"> </w:t>
      </w:r>
      <w:r>
        <w:rPr>
          <w:spacing w:val="-1"/>
          <w:sz w:val="22"/>
          <w:szCs w:val="22"/>
        </w:rPr>
        <w:t>individually</w:t>
      </w:r>
      <w:r>
        <w:rPr>
          <w:sz w:val="22"/>
          <w:szCs w:val="22"/>
        </w:rPr>
        <w:t xml:space="preserve"> may not </w:t>
      </w:r>
      <w:r>
        <w:rPr>
          <w:spacing w:val="-1"/>
          <w:sz w:val="22"/>
          <w:szCs w:val="22"/>
        </w:rPr>
        <w:t>indicate</w:t>
      </w:r>
      <w:r>
        <w:rPr>
          <w:sz w:val="22"/>
          <w:szCs w:val="22"/>
        </w:rPr>
        <w:t xml:space="preserve"> risk but if</w:t>
      </w:r>
      <w:r>
        <w:rPr>
          <w:spacing w:val="45"/>
          <w:sz w:val="22"/>
          <w:szCs w:val="22"/>
        </w:rPr>
        <w:t xml:space="preserve"> </w:t>
      </w:r>
      <w:r>
        <w:rPr>
          <w:sz w:val="22"/>
          <w:szCs w:val="22"/>
        </w:rPr>
        <w:t xml:space="preserve">there are </w:t>
      </w:r>
      <w:r>
        <w:rPr>
          <w:spacing w:val="-1"/>
          <w:sz w:val="22"/>
          <w:szCs w:val="22"/>
        </w:rPr>
        <w:t>two</w:t>
      </w:r>
      <w:r>
        <w:rPr>
          <w:sz w:val="22"/>
          <w:szCs w:val="22"/>
        </w:rPr>
        <w:t xml:space="preserve"> or more</w:t>
      </w:r>
      <w:r>
        <w:rPr>
          <w:spacing w:val="-2"/>
          <w:sz w:val="22"/>
          <w:szCs w:val="22"/>
        </w:rPr>
        <w:t xml:space="preserve"> </w:t>
      </w:r>
      <w:r>
        <w:rPr>
          <w:spacing w:val="-1"/>
          <w:sz w:val="22"/>
          <w:szCs w:val="22"/>
        </w:rPr>
        <w:t>indicators</w:t>
      </w:r>
      <w:r>
        <w:rPr>
          <w:sz w:val="22"/>
          <w:szCs w:val="22"/>
        </w:rPr>
        <w:t xml:space="preserve"> present this </w:t>
      </w:r>
      <w:r>
        <w:rPr>
          <w:spacing w:val="-1"/>
          <w:sz w:val="22"/>
          <w:szCs w:val="22"/>
        </w:rPr>
        <w:t>could</w:t>
      </w:r>
      <w:r>
        <w:rPr>
          <w:sz w:val="22"/>
          <w:szCs w:val="22"/>
        </w:rPr>
        <w:t xml:space="preserve"> signal</w:t>
      </w:r>
      <w:r>
        <w:rPr>
          <w:spacing w:val="-1"/>
          <w:sz w:val="22"/>
          <w:szCs w:val="22"/>
        </w:rPr>
        <w:t xml:space="preserve"> </w:t>
      </w:r>
      <w:r>
        <w:rPr>
          <w:sz w:val="22"/>
          <w:szCs w:val="22"/>
        </w:rPr>
        <w:t xml:space="preserve">a risk to the </w:t>
      </w:r>
      <w:r>
        <w:rPr>
          <w:spacing w:val="-1"/>
          <w:sz w:val="22"/>
          <w:szCs w:val="22"/>
        </w:rPr>
        <w:t xml:space="preserve">child </w:t>
      </w:r>
      <w:r>
        <w:rPr>
          <w:sz w:val="22"/>
          <w:szCs w:val="22"/>
        </w:rPr>
        <w:t xml:space="preserve">or </w:t>
      </w:r>
      <w:r>
        <w:rPr>
          <w:spacing w:val="-1"/>
          <w:sz w:val="22"/>
          <w:szCs w:val="22"/>
        </w:rPr>
        <w:t>young</w:t>
      </w:r>
      <w:r>
        <w:rPr>
          <w:spacing w:val="45"/>
          <w:sz w:val="22"/>
          <w:szCs w:val="22"/>
        </w:rPr>
        <w:t xml:space="preserve"> </w:t>
      </w:r>
      <w:r>
        <w:rPr>
          <w:sz w:val="22"/>
          <w:szCs w:val="22"/>
        </w:rPr>
        <w:t xml:space="preserve">person. Victims of </w:t>
      </w:r>
      <w:r>
        <w:rPr>
          <w:spacing w:val="-1"/>
          <w:sz w:val="22"/>
          <w:szCs w:val="22"/>
        </w:rPr>
        <w:t>FGM</w:t>
      </w:r>
      <w:r>
        <w:rPr>
          <w:sz w:val="22"/>
          <w:szCs w:val="22"/>
        </w:rPr>
        <w:t xml:space="preserve"> are </w:t>
      </w:r>
      <w:r>
        <w:rPr>
          <w:spacing w:val="-1"/>
          <w:sz w:val="22"/>
          <w:szCs w:val="22"/>
        </w:rPr>
        <w:t>likely</w:t>
      </w:r>
      <w:r>
        <w:rPr>
          <w:sz w:val="22"/>
          <w:szCs w:val="22"/>
        </w:rPr>
        <w:t xml:space="preserve"> to come </w:t>
      </w:r>
      <w:r>
        <w:rPr>
          <w:spacing w:val="-1"/>
          <w:sz w:val="22"/>
          <w:szCs w:val="22"/>
        </w:rPr>
        <w:t>from</w:t>
      </w:r>
      <w:r>
        <w:rPr>
          <w:sz w:val="22"/>
          <w:szCs w:val="22"/>
        </w:rPr>
        <w:t xml:space="preserve"> a </w:t>
      </w:r>
      <w:r>
        <w:rPr>
          <w:spacing w:val="-1"/>
          <w:sz w:val="22"/>
          <w:szCs w:val="22"/>
        </w:rPr>
        <w:t>community</w:t>
      </w:r>
      <w:r>
        <w:rPr>
          <w:sz w:val="22"/>
          <w:szCs w:val="22"/>
        </w:rPr>
        <w:t xml:space="preserve"> that</w:t>
      </w:r>
      <w:r>
        <w:rPr>
          <w:spacing w:val="-2"/>
          <w:sz w:val="22"/>
          <w:szCs w:val="22"/>
        </w:rPr>
        <w:t xml:space="preserve"> </w:t>
      </w:r>
      <w:r>
        <w:rPr>
          <w:sz w:val="22"/>
          <w:szCs w:val="22"/>
        </w:rPr>
        <w:t>is known</w:t>
      </w:r>
      <w:r>
        <w:rPr>
          <w:spacing w:val="-1"/>
          <w:sz w:val="22"/>
          <w:szCs w:val="22"/>
        </w:rPr>
        <w:t xml:space="preserve"> </w:t>
      </w:r>
      <w:r>
        <w:rPr>
          <w:sz w:val="22"/>
          <w:szCs w:val="22"/>
        </w:rPr>
        <w:t>to practise</w:t>
      </w:r>
      <w:r>
        <w:rPr>
          <w:spacing w:val="37"/>
          <w:sz w:val="22"/>
          <w:szCs w:val="22"/>
        </w:rPr>
        <w:t xml:space="preserve"> </w:t>
      </w:r>
      <w:r>
        <w:rPr>
          <w:sz w:val="22"/>
          <w:szCs w:val="22"/>
        </w:rPr>
        <w:t xml:space="preserve">FGM. </w:t>
      </w:r>
      <w:r>
        <w:rPr>
          <w:spacing w:val="-1"/>
          <w:sz w:val="22"/>
          <w:szCs w:val="22"/>
        </w:rPr>
        <w:t>UTC staff are aware</w:t>
      </w:r>
      <w:r>
        <w:rPr>
          <w:sz w:val="22"/>
          <w:szCs w:val="22"/>
        </w:rPr>
        <w:t xml:space="preserve"> that </w:t>
      </w:r>
      <w:r>
        <w:rPr>
          <w:spacing w:val="-1"/>
          <w:sz w:val="22"/>
          <w:szCs w:val="22"/>
        </w:rPr>
        <w:t>girls</w:t>
      </w:r>
      <w:r>
        <w:rPr>
          <w:sz w:val="22"/>
          <w:szCs w:val="22"/>
        </w:rPr>
        <w:t xml:space="preserve"> at risk of </w:t>
      </w:r>
      <w:r>
        <w:rPr>
          <w:spacing w:val="-1"/>
          <w:sz w:val="22"/>
          <w:szCs w:val="22"/>
        </w:rPr>
        <w:t>FGM</w:t>
      </w:r>
      <w:r>
        <w:rPr>
          <w:sz w:val="22"/>
          <w:szCs w:val="22"/>
        </w:rPr>
        <w:t xml:space="preserve"> may not</w:t>
      </w:r>
      <w:r>
        <w:rPr>
          <w:spacing w:val="-1"/>
          <w:sz w:val="22"/>
          <w:szCs w:val="22"/>
        </w:rPr>
        <w:t xml:space="preserve"> yet</w:t>
      </w:r>
      <w:r>
        <w:rPr>
          <w:sz w:val="22"/>
          <w:szCs w:val="22"/>
        </w:rPr>
        <w:t xml:space="preserve"> be </w:t>
      </w:r>
      <w:r>
        <w:rPr>
          <w:spacing w:val="-1"/>
          <w:sz w:val="22"/>
          <w:szCs w:val="22"/>
        </w:rPr>
        <w:t>aware</w:t>
      </w:r>
      <w:r>
        <w:rPr>
          <w:sz w:val="22"/>
          <w:szCs w:val="22"/>
        </w:rPr>
        <w:t xml:space="preserve"> of the</w:t>
      </w:r>
      <w:r>
        <w:rPr>
          <w:spacing w:val="51"/>
          <w:sz w:val="22"/>
          <w:szCs w:val="22"/>
        </w:rPr>
        <w:t xml:space="preserve"> </w:t>
      </w:r>
      <w:r>
        <w:rPr>
          <w:sz w:val="22"/>
          <w:szCs w:val="22"/>
        </w:rPr>
        <w:t>practice or that it</w:t>
      </w:r>
      <w:r>
        <w:rPr>
          <w:spacing w:val="-1"/>
          <w:sz w:val="22"/>
          <w:szCs w:val="22"/>
        </w:rPr>
        <w:t xml:space="preserve"> </w:t>
      </w:r>
      <w:r>
        <w:rPr>
          <w:sz w:val="22"/>
          <w:szCs w:val="22"/>
        </w:rPr>
        <w:t>may be</w:t>
      </w:r>
      <w:r>
        <w:rPr>
          <w:spacing w:val="-1"/>
          <w:sz w:val="22"/>
          <w:szCs w:val="22"/>
        </w:rPr>
        <w:t xml:space="preserve"> </w:t>
      </w:r>
      <w:r>
        <w:rPr>
          <w:sz w:val="22"/>
          <w:szCs w:val="22"/>
        </w:rPr>
        <w:t xml:space="preserve">conducted on them, so </w:t>
      </w:r>
      <w:r>
        <w:rPr>
          <w:spacing w:val="-1"/>
          <w:sz w:val="22"/>
          <w:szCs w:val="22"/>
        </w:rPr>
        <w:t>sensitivity</w:t>
      </w:r>
      <w:r>
        <w:rPr>
          <w:sz w:val="22"/>
          <w:szCs w:val="22"/>
        </w:rPr>
        <w:t xml:space="preserve"> </w:t>
      </w:r>
      <w:r>
        <w:rPr>
          <w:spacing w:val="-1"/>
          <w:sz w:val="22"/>
          <w:szCs w:val="22"/>
        </w:rPr>
        <w:t>is always</w:t>
      </w:r>
      <w:r>
        <w:rPr>
          <w:spacing w:val="1"/>
          <w:sz w:val="22"/>
          <w:szCs w:val="22"/>
        </w:rPr>
        <w:t xml:space="preserve"> </w:t>
      </w:r>
      <w:r>
        <w:rPr>
          <w:spacing w:val="-1"/>
          <w:sz w:val="22"/>
          <w:szCs w:val="22"/>
        </w:rPr>
        <w:t>shown</w:t>
      </w:r>
      <w:r>
        <w:rPr>
          <w:spacing w:val="49"/>
          <w:sz w:val="22"/>
          <w:szCs w:val="22"/>
        </w:rPr>
        <w:t xml:space="preserve"> </w:t>
      </w:r>
      <w:r>
        <w:rPr>
          <w:spacing w:val="-1"/>
          <w:sz w:val="22"/>
          <w:szCs w:val="22"/>
        </w:rPr>
        <w:t>when</w:t>
      </w:r>
      <w:r>
        <w:rPr>
          <w:sz w:val="22"/>
          <w:szCs w:val="22"/>
        </w:rPr>
        <w:t xml:space="preserve"> </w:t>
      </w:r>
      <w:r>
        <w:rPr>
          <w:spacing w:val="-1"/>
          <w:sz w:val="22"/>
          <w:szCs w:val="22"/>
        </w:rPr>
        <w:t>approaching</w:t>
      </w:r>
      <w:r>
        <w:rPr>
          <w:sz w:val="22"/>
          <w:szCs w:val="22"/>
        </w:rPr>
        <w:t xml:space="preserve"> the subject. </w:t>
      </w:r>
      <w:r>
        <w:rPr>
          <w:spacing w:val="-1"/>
          <w:sz w:val="22"/>
          <w:szCs w:val="22"/>
        </w:rPr>
        <w:t xml:space="preserve">Warning </w:t>
      </w:r>
      <w:r>
        <w:rPr>
          <w:sz w:val="22"/>
          <w:szCs w:val="22"/>
        </w:rPr>
        <w:t xml:space="preserve">signs that </w:t>
      </w:r>
      <w:r>
        <w:rPr>
          <w:spacing w:val="-1"/>
          <w:sz w:val="22"/>
          <w:szCs w:val="22"/>
        </w:rPr>
        <w:t>FGM</w:t>
      </w:r>
      <w:r>
        <w:rPr>
          <w:sz w:val="22"/>
          <w:szCs w:val="22"/>
        </w:rPr>
        <w:t xml:space="preserve"> may </w:t>
      </w:r>
      <w:r>
        <w:rPr>
          <w:spacing w:val="-1"/>
          <w:sz w:val="22"/>
          <w:szCs w:val="22"/>
        </w:rPr>
        <w:t>be</w:t>
      </w:r>
      <w:r>
        <w:rPr>
          <w:sz w:val="22"/>
          <w:szCs w:val="22"/>
        </w:rPr>
        <w:t xml:space="preserve"> about to </w:t>
      </w:r>
      <w:r>
        <w:rPr>
          <w:spacing w:val="-1"/>
          <w:sz w:val="22"/>
          <w:szCs w:val="22"/>
        </w:rPr>
        <w:t>take</w:t>
      </w:r>
      <w:r>
        <w:rPr>
          <w:sz w:val="22"/>
          <w:szCs w:val="22"/>
        </w:rPr>
        <w:t xml:space="preserve"> </w:t>
      </w:r>
      <w:r>
        <w:rPr>
          <w:spacing w:val="-1"/>
          <w:sz w:val="22"/>
          <w:szCs w:val="22"/>
        </w:rPr>
        <w:t>place,</w:t>
      </w:r>
      <w:r>
        <w:rPr>
          <w:sz w:val="22"/>
          <w:szCs w:val="22"/>
        </w:rPr>
        <w:t xml:space="preserve"> or</w:t>
      </w:r>
      <w:r>
        <w:rPr>
          <w:spacing w:val="57"/>
          <w:sz w:val="22"/>
          <w:szCs w:val="22"/>
        </w:rPr>
        <w:t xml:space="preserve"> </w:t>
      </w:r>
      <w:r>
        <w:rPr>
          <w:sz w:val="22"/>
          <w:szCs w:val="22"/>
        </w:rPr>
        <w:t>may have</w:t>
      </w:r>
      <w:r>
        <w:rPr>
          <w:spacing w:val="-1"/>
          <w:sz w:val="22"/>
          <w:szCs w:val="22"/>
        </w:rPr>
        <w:t xml:space="preserve"> </w:t>
      </w:r>
      <w:r>
        <w:rPr>
          <w:sz w:val="22"/>
          <w:szCs w:val="22"/>
        </w:rPr>
        <w:t xml:space="preserve">already taken </w:t>
      </w:r>
      <w:r>
        <w:rPr>
          <w:spacing w:val="-1"/>
          <w:sz w:val="22"/>
          <w:szCs w:val="22"/>
        </w:rPr>
        <w:t>place,</w:t>
      </w:r>
      <w:r>
        <w:rPr>
          <w:sz w:val="22"/>
          <w:szCs w:val="22"/>
        </w:rPr>
        <w:t xml:space="preserve"> can be found at </w:t>
      </w:r>
      <w:hyperlink r:id="rId59" w:history="1">
        <w:r>
          <w:rPr>
            <w:rStyle w:val="Hyperlink"/>
            <w:rFonts w:eastAsia="Arial"/>
            <w:sz w:val="22"/>
            <w:szCs w:val="22"/>
          </w:rPr>
          <w:t>female genital mutilation (FGM)</w:t>
        </w:r>
      </w:hyperlink>
      <w:r>
        <w:rPr>
          <w:sz w:val="22"/>
          <w:szCs w:val="22"/>
        </w:rPr>
        <w:t>, also referenced on page 8 of this policy.</w:t>
      </w:r>
    </w:p>
    <w:p>
      <w:pPr>
        <w:pStyle w:val="CommentText"/>
        <w:rPr>
          <w:sz w:val="22"/>
          <w:szCs w:val="22"/>
        </w:rPr>
      </w:pPr>
    </w:p>
    <w:p>
      <w:pPr>
        <w:pStyle w:val="CommentText"/>
        <w:rPr>
          <w:sz w:val="22"/>
          <w:szCs w:val="22"/>
        </w:rPr>
      </w:pPr>
    </w:p>
    <w:p>
      <w:pPr>
        <w:pStyle w:val="CommentText"/>
        <w:rPr>
          <w:sz w:val="22"/>
          <w:szCs w:val="22"/>
        </w:rPr>
        <w:sectPr>
          <w:headerReference w:type="default" r:id="rId60"/>
          <w:footerReference w:type="default" r:id="rId61"/>
          <w:pgSz w:w="11906" w:h="16838"/>
          <w:pgMar w:top="1134" w:right="851" w:bottom="1134" w:left="851" w:header="624" w:footer="624" w:gutter="0"/>
          <w:cols w:space="708"/>
          <w:formProt w:val="0"/>
          <w:docGrid w:linePitch="360"/>
        </w:sectPr>
      </w:pPr>
      <w:r>
        <w:rPr>
          <w:sz w:val="22"/>
          <w:szCs w:val="22"/>
        </w:rPr>
        <w:t>UTC staff will activate local</w:t>
      </w:r>
      <w:r>
        <w:rPr>
          <w:spacing w:val="-1"/>
          <w:sz w:val="22"/>
          <w:szCs w:val="22"/>
        </w:rPr>
        <w:t xml:space="preserve"> </w:t>
      </w:r>
      <w:r>
        <w:rPr>
          <w:sz w:val="22"/>
          <w:szCs w:val="22"/>
        </w:rPr>
        <w:t>safeguarding</w:t>
      </w:r>
      <w:r>
        <w:rPr>
          <w:spacing w:val="47"/>
          <w:sz w:val="22"/>
          <w:szCs w:val="22"/>
        </w:rPr>
        <w:t xml:space="preserve"> </w:t>
      </w:r>
      <w:r>
        <w:rPr>
          <w:sz w:val="22"/>
          <w:szCs w:val="22"/>
        </w:rPr>
        <w:t xml:space="preserve">procedures, </w:t>
      </w:r>
      <w:r>
        <w:rPr>
          <w:spacing w:val="-1"/>
          <w:sz w:val="22"/>
          <w:szCs w:val="22"/>
        </w:rPr>
        <w:t>using</w:t>
      </w:r>
      <w:r>
        <w:rPr>
          <w:sz w:val="22"/>
          <w:szCs w:val="22"/>
        </w:rPr>
        <w:t xml:space="preserve"> </w:t>
      </w:r>
      <w:r>
        <w:rPr>
          <w:spacing w:val="-1"/>
          <w:sz w:val="22"/>
          <w:szCs w:val="22"/>
        </w:rPr>
        <w:t>existing</w:t>
      </w:r>
      <w:r>
        <w:rPr>
          <w:sz w:val="22"/>
          <w:szCs w:val="22"/>
        </w:rPr>
        <w:t xml:space="preserve"> </w:t>
      </w:r>
      <w:r>
        <w:rPr>
          <w:spacing w:val="-1"/>
          <w:sz w:val="22"/>
          <w:szCs w:val="22"/>
        </w:rPr>
        <w:t>national</w:t>
      </w:r>
      <w:r>
        <w:rPr>
          <w:spacing w:val="1"/>
          <w:sz w:val="22"/>
          <w:szCs w:val="22"/>
        </w:rPr>
        <w:t xml:space="preserve"> </w:t>
      </w:r>
      <w:r>
        <w:rPr>
          <w:sz w:val="22"/>
          <w:szCs w:val="22"/>
        </w:rPr>
        <w:t>and</w:t>
      </w:r>
      <w:r>
        <w:rPr>
          <w:spacing w:val="-1"/>
          <w:sz w:val="22"/>
          <w:szCs w:val="22"/>
        </w:rPr>
        <w:t xml:space="preserve"> </w:t>
      </w:r>
      <w:r>
        <w:rPr>
          <w:sz w:val="22"/>
          <w:szCs w:val="22"/>
        </w:rPr>
        <w:t xml:space="preserve">local </w:t>
      </w:r>
      <w:r>
        <w:rPr>
          <w:spacing w:val="-1"/>
          <w:sz w:val="22"/>
          <w:szCs w:val="22"/>
        </w:rPr>
        <w:t>protocols</w:t>
      </w:r>
      <w:r>
        <w:rPr>
          <w:sz w:val="22"/>
          <w:szCs w:val="22"/>
        </w:rPr>
        <w:t xml:space="preserve"> for </w:t>
      </w:r>
      <w:r>
        <w:rPr>
          <w:spacing w:val="-1"/>
          <w:sz w:val="22"/>
          <w:szCs w:val="22"/>
        </w:rPr>
        <w:t>multi-agency</w:t>
      </w:r>
      <w:r>
        <w:rPr>
          <w:sz w:val="22"/>
          <w:szCs w:val="22"/>
        </w:rPr>
        <w:t xml:space="preserve"> liaison with </w:t>
      </w:r>
      <w:r>
        <w:rPr>
          <w:spacing w:val="-1"/>
          <w:sz w:val="22"/>
          <w:szCs w:val="22"/>
        </w:rPr>
        <w:t>police</w:t>
      </w:r>
      <w:r>
        <w:rPr>
          <w:spacing w:val="83"/>
          <w:sz w:val="22"/>
          <w:szCs w:val="22"/>
        </w:rPr>
        <w:t xml:space="preserve"> </w:t>
      </w:r>
      <w:r>
        <w:rPr>
          <w:rFonts w:eastAsia="Arial"/>
          <w:sz w:val="22"/>
          <w:szCs w:val="22"/>
        </w:rPr>
        <w:t>and</w:t>
      </w:r>
      <w:r>
        <w:rPr>
          <w:rFonts w:eastAsia="Arial"/>
          <w:spacing w:val="-1"/>
          <w:sz w:val="22"/>
          <w:szCs w:val="22"/>
        </w:rPr>
        <w:t xml:space="preserve"> children’s</w:t>
      </w:r>
      <w:r>
        <w:rPr>
          <w:rFonts w:eastAsia="Arial"/>
          <w:sz w:val="22"/>
          <w:szCs w:val="22"/>
        </w:rPr>
        <w:t xml:space="preserve"> social care. </w:t>
      </w:r>
    </w:p>
    <w:p>
      <w:pPr>
        <w:rPr>
          <w:sz w:val="22"/>
          <w:szCs w:val="22"/>
        </w:rPr>
      </w:pPr>
    </w:p>
    <w:sectPr>
      <w:pgSz w:w="11901" w:h="16817"/>
      <w:pgMar w:top="720" w:right="1440" w:bottom="72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sdt>
    <w:sdtPr>
      <w:id w:val="-1917471863"/>
      <w:docPartObj>
        <w:docPartGallery w:val="Page Numbers (Bottom of Page)"/>
        <w:docPartUnique/>
      </w:docPartObj>
    </w:sdtPr>
    <w:sdtEndPr>
      <w:rPr>
        <w:noProof/>
      </w:rPr>
    </w:sdtEndPr>
    <w:sdtContent>
      <w:p>
        <w:pPr>
          <w:pStyle w:val="Footer"/>
          <w:ind w:right="360"/>
          <w:jc w:val="right"/>
        </w:pPr>
      </w:p>
    </w:sdtContent>
  </w:sdt>
  <w:p>
    <w:pPr>
      <w:pStyle w:val="Footer"/>
      <w:jc w:val="right"/>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right"/>
    </w:pPr>
    <w:r>
      <w:rPr>
        <w:noProof/>
        <w:sz w:val="20"/>
        <w:lang w:val="en-US"/>
      </w:rPr>
      <w:t xml:space="preserve">Page </w:t>
    </w:r>
    <w:r>
      <w:rPr>
        <w:noProof/>
        <w:sz w:val="20"/>
        <w:lang w:val="en-US"/>
      </w:rPr>
      <w:fldChar w:fldCharType="begin"/>
    </w:r>
    <w:r>
      <w:rPr>
        <w:noProof/>
        <w:sz w:val="20"/>
        <w:lang w:val="en-US"/>
      </w:rPr>
      <w:instrText xml:space="preserve"> PAGE </w:instrText>
    </w:r>
    <w:r>
      <w:rPr>
        <w:noProof/>
        <w:sz w:val="20"/>
        <w:lang w:val="en-US"/>
      </w:rPr>
      <w:fldChar w:fldCharType="separate"/>
    </w:r>
    <w:r>
      <w:rPr>
        <w:noProof/>
        <w:sz w:val="20"/>
        <w:lang w:val="en-US"/>
      </w:rPr>
      <w:t>26</w:t>
    </w:r>
    <w:r>
      <w:rPr>
        <w:noProof/>
        <w:sz w:val="20"/>
        <w:lang w:val="en-US"/>
      </w:rPr>
      <w:fldChar w:fldCharType="end"/>
    </w:r>
    <w:r>
      <w:rPr>
        <w:noProof/>
        <w:sz w:val="20"/>
        <w:lang w:val="en-US"/>
      </w:rPr>
      <w:t xml:space="preserve"> of </w:t>
    </w:r>
    <w:r>
      <w:rPr>
        <w:noProof/>
        <w:sz w:val="20"/>
        <w:lang w:val="en-US"/>
      </w:rPr>
      <w:fldChar w:fldCharType="begin"/>
    </w:r>
    <w:r>
      <w:rPr>
        <w:noProof/>
        <w:sz w:val="20"/>
        <w:lang w:val="en-US"/>
      </w:rPr>
      <w:instrText xml:space="preserve"> NUMPAGES </w:instrText>
    </w:r>
    <w:r>
      <w:rPr>
        <w:noProof/>
        <w:sz w:val="20"/>
        <w:lang w:val="en-US"/>
      </w:rPr>
      <w:fldChar w:fldCharType="separate"/>
    </w:r>
    <w:r>
      <w:rPr>
        <w:noProof/>
        <w:sz w:val="20"/>
        <w:lang w:val="en-US"/>
      </w:rPr>
      <w:t>34</w:t>
    </w:r>
    <w:r>
      <w:rPr>
        <w:noProof/>
        <w:sz w:val="20"/>
        <w:lang w:val="en-US"/>
      </w:rPr>
      <w:fldChar w:fldCharType="end"/>
    </w:r>
  </w:p>
  <w:p>
    <w:pPr>
      <w:pStyle w:val="Footer"/>
      <w:spacing w:before="120"/>
      <w:jc w:val="center"/>
    </w:pPr>
    <w:r>
      <w:rPr>
        <w:noProof/>
        <w:sz w:val="20"/>
        <w:lang w:val="en-U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right"/>
    </w:pPr>
    <w:r>
      <w:rPr>
        <w:noProof/>
        <w:sz w:val="20"/>
        <w:lang w:val="en-US"/>
      </w:rPr>
      <w:t xml:space="preserve">Page </w:t>
    </w:r>
    <w:r>
      <w:rPr>
        <w:noProof/>
        <w:sz w:val="20"/>
        <w:lang w:val="en-US"/>
      </w:rPr>
      <w:fldChar w:fldCharType="begin"/>
    </w:r>
    <w:r>
      <w:rPr>
        <w:noProof/>
        <w:sz w:val="20"/>
        <w:lang w:val="en-US"/>
      </w:rPr>
      <w:instrText xml:space="preserve"> PAGE </w:instrText>
    </w:r>
    <w:r>
      <w:rPr>
        <w:noProof/>
        <w:sz w:val="20"/>
        <w:lang w:val="en-US"/>
      </w:rPr>
      <w:fldChar w:fldCharType="separate"/>
    </w:r>
    <w:r>
      <w:rPr>
        <w:noProof/>
        <w:sz w:val="20"/>
        <w:lang w:val="en-US"/>
      </w:rPr>
      <w:t>34</w:t>
    </w:r>
    <w:r>
      <w:rPr>
        <w:noProof/>
        <w:sz w:val="20"/>
        <w:lang w:val="en-US"/>
      </w:rPr>
      <w:fldChar w:fldCharType="end"/>
    </w:r>
    <w:r>
      <w:rPr>
        <w:noProof/>
        <w:sz w:val="20"/>
        <w:lang w:val="en-US"/>
      </w:rPr>
      <w:t xml:space="preserve"> of </w:t>
    </w:r>
    <w:r>
      <w:rPr>
        <w:noProof/>
        <w:sz w:val="20"/>
        <w:lang w:val="en-US"/>
      </w:rPr>
      <w:fldChar w:fldCharType="begin"/>
    </w:r>
    <w:r>
      <w:rPr>
        <w:noProof/>
        <w:sz w:val="20"/>
        <w:lang w:val="en-US"/>
      </w:rPr>
      <w:instrText xml:space="preserve"> NUMPAGES </w:instrText>
    </w:r>
    <w:r>
      <w:rPr>
        <w:noProof/>
        <w:sz w:val="20"/>
        <w:lang w:val="en-US"/>
      </w:rPr>
      <w:fldChar w:fldCharType="separate"/>
    </w:r>
    <w:r>
      <w:rPr>
        <w:noProof/>
        <w:sz w:val="20"/>
        <w:lang w:val="en-US"/>
      </w:rPr>
      <w:t>34</w:t>
    </w:r>
    <w:r>
      <w:rPr>
        <w:noProof/>
        <w:sz w:val="20"/>
        <w:lang w:val="en-US"/>
      </w:rPr>
      <w:fldChar w:fldCharType="end"/>
    </w:r>
  </w:p>
  <w:p>
    <w:pPr>
      <w:pStyle w:val="Footer"/>
      <w:spacing w:before="120"/>
      <w:jc w:val="center"/>
    </w:pPr>
    <w:r>
      <w:rPr>
        <w:noProof/>
        <w:sz w:val="2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17E6239"/>
    <w:multiLevelType w:val="hybridMultilevel"/>
    <w:tmpl w:val="F5B6E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C3CA3"/>
    <w:multiLevelType w:val="hybridMultilevel"/>
    <w:tmpl w:val="0C86C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E35BDF"/>
    <w:multiLevelType w:val="hybridMultilevel"/>
    <w:tmpl w:val="6AEC4FC2"/>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05305"/>
    <w:multiLevelType w:val="hybridMultilevel"/>
    <w:tmpl w:val="1BD2B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143D93"/>
    <w:multiLevelType w:val="hybridMultilevel"/>
    <w:tmpl w:val="00AC0ACE"/>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E51783"/>
    <w:multiLevelType w:val="hybridMultilevel"/>
    <w:tmpl w:val="6E0E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E85608"/>
    <w:multiLevelType w:val="hybridMultilevel"/>
    <w:tmpl w:val="54B66322"/>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0B2529"/>
    <w:multiLevelType w:val="hybridMultilevel"/>
    <w:tmpl w:val="B406FA10"/>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277C2"/>
    <w:multiLevelType w:val="hybridMultilevel"/>
    <w:tmpl w:val="3DDA4D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DDE354D"/>
    <w:multiLevelType w:val="hybridMultilevel"/>
    <w:tmpl w:val="30C2FA84"/>
    <w:lvl w:ilvl="0" w:tplc="2C067000">
      <w:start w:val="1"/>
      <w:numFmt w:val="bullet"/>
      <w:lvlText w:val=""/>
      <w:lvlJc w:val="left"/>
      <w:pPr>
        <w:ind w:left="834" w:hanging="295"/>
      </w:pPr>
      <w:rPr>
        <w:rFonts w:ascii="Symbol" w:eastAsia="Symbol" w:hAnsi="Symbol" w:hint="default"/>
        <w:sz w:val="24"/>
        <w:szCs w:val="24"/>
      </w:rPr>
    </w:lvl>
    <w:lvl w:ilvl="1" w:tplc="272E531E">
      <w:start w:val="1"/>
      <w:numFmt w:val="bullet"/>
      <w:lvlText w:val="•"/>
      <w:lvlJc w:val="left"/>
      <w:pPr>
        <w:ind w:left="1677" w:hanging="295"/>
      </w:pPr>
      <w:rPr>
        <w:rFonts w:hint="default"/>
      </w:rPr>
    </w:lvl>
    <w:lvl w:ilvl="2" w:tplc="20DAC9B4">
      <w:start w:val="1"/>
      <w:numFmt w:val="bullet"/>
      <w:lvlText w:val="•"/>
      <w:lvlJc w:val="left"/>
      <w:pPr>
        <w:ind w:left="2520" w:hanging="295"/>
      </w:pPr>
      <w:rPr>
        <w:rFonts w:hint="default"/>
      </w:rPr>
    </w:lvl>
    <w:lvl w:ilvl="3" w:tplc="B4024466">
      <w:start w:val="1"/>
      <w:numFmt w:val="bullet"/>
      <w:lvlText w:val="•"/>
      <w:lvlJc w:val="left"/>
      <w:pPr>
        <w:ind w:left="3364" w:hanging="295"/>
      </w:pPr>
      <w:rPr>
        <w:rFonts w:hint="default"/>
      </w:rPr>
    </w:lvl>
    <w:lvl w:ilvl="4" w:tplc="54B61C00">
      <w:start w:val="1"/>
      <w:numFmt w:val="bullet"/>
      <w:lvlText w:val="•"/>
      <w:lvlJc w:val="left"/>
      <w:pPr>
        <w:ind w:left="4207" w:hanging="295"/>
      </w:pPr>
      <w:rPr>
        <w:rFonts w:hint="default"/>
      </w:rPr>
    </w:lvl>
    <w:lvl w:ilvl="5" w:tplc="7270BDA2">
      <w:start w:val="1"/>
      <w:numFmt w:val="bullet"/>
      <w:lvlText w:val="•"/>
      <w:lvlJc w:val="left"/>
      <w:pPr>
        <w:ind w:left="5050" w:hanging="295"/>
      </w:pPr>
      <w:rPr>
        <w:rFonts w:hint="default"/>
      </w:rPr>
    </w:lvl>
    <w:lvl w:ilvl="6" w:tplc="614067EC">
      <w:start w:val="1"/>
      <w:numFmt w:val="bullet"/>
      <w:lvlText w:val="•"/>
      <w:lvlJc w:val="left"/>
      <w:pPr>
        <w:ind w:left="5893" w:hanging="295"/>
      </w:pPr>
      <w:rPr>
        <w:rFonts w:hint="default"/>
      </w:rPr>
    </w:lvl>
    <w:lvl w:ilvl="7" w:tplc="5192AAF0">
      <w:start w:val="1"/>
      <w:numFmt w:val="bullet"/>
      <w:lvlText w:val="•"/>
      <w:lvlJc w:val="left"/>
      <w:pPr>
        <w:ind w:left="6736" w:hanging="295"/>
      </w:pPr>
      <w:rPr>
        <w:rFonts w:hint="default"/>
      </w:rPr>
    </w:lvl>
    <w:lvl w:ilvl="8" w:tplc="41BA0FEE">
      <w:start w:val="1"/>
      <w:numFmt w:val="bullet"/>
      <w:lvlText w:val="•"/>
      <w:lvlJc w:val="left"/>
      <w:pPr>
        <w:ind w:left="7580" w:hanging="295"/>
      </w:pPr>
      <w:rPr>
        <w:rFonts w:hint="default"/>
      </w:rPr>
    </w:lvl>
  </w:abstractNum>
  <w:abstractNum w:abstractNumId="11" w15:restartNumberingAfterBreak="0">
    <w:nsid w:val="121D05F3"/>
    <w:multiLevelType w:val="hybridMultilevel"/>
    <w:tmpl w:val="D272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A10E3"/>
    <w:multiLevelType w:val="hybridMultilevel"/>
    <w:tmpl w:val="17A0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E5849"/>
    <w:multiLevelType w:val="hybridMultilevel"/>
    <w:tmpl w:val="7624B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B93DF7"/>
    <w:multiLevelType w:val="hybridMultilevel"/>
    <w:tmpl w:val="BB16CF22"/>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F23C7B"/>
    <w:multiLevelType w:val="hybridMultilevel"/>
    <w:tmpl w:val="05A01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575F36"/>
    <w:multiLevelType w:val="hybridMultilevel"/>
    <w:tmpl w:val="DAF0ACA4"/>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42936"/>
    <w:multiLevelType w:val="hybridMultilevel"/>
    <w:tmpl w:val="543E2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18417F"/>
    <w:multiLevelType w:val="hybridMultilevel"/>
    <w:tmpl w:val="69F2D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08B35EE"/>
    <w:multiLevelType w:val="hybridMultilevel"/>
    <w:tmpl w:val="4E626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9579AF"/>
    <w:multiLevelType w:val="hybridMultilevel"/>
    <w:tmpl w:val="F6084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561B0C"/>
    <w:multiLevelType w:val="hybridMultilevel"/>
    <w:tmpl w:val="BDD29428"/>
    <w:lvl w:ilvl="0" w:tplc="4F0CDBFE">
      <w:start w:val="1"/>
      <w:numFmt w:val="bullet"/>
      <w:lvlText w:val="•"/>
      <w:lvlJc w:val="left"/>
      <w:pPr>
        <w:tabs>
          <w:tab w:val="num" w:pos="720"/>
        </w:tabs>
        <w:ind w:left="720" w:hanging="360"/>
      </w:pPr>
      <w:rPr>
        <w:rFonts w:ascii="Times New Roman" w:hAnsi="Times New Roman" w:hint="default"/>
      </w:rPr>
    </w:lvl>
    <w:lvl w:ilvl="1" w:tplc="362CC840" w:tentative="1">
      <w:start w:val="1"/>
      <w:numFmt w:val="bullet"/>
      <w:lvlText w:val="•"/>
      <w:lvlJc w:val="left"/>
      <w:pPr>
        <w:tabs>
          <w:tab w:val="num" w:pos="1440"/>
        </w:tabs>
        <w:ind w:left="1440" w:hanging="360"/>
      </w:pPr>
      <w:rPr>
        <w:rFonts w:ascii="Times New Roman" w:hAnsi="Times New Roman" w:hint="default"/>
      </w:rPr>
    </w:lvl>
    <w:lvl w:ilvl="2" w:tplc="BED46BFE" w:tentative="1">
      <w:start w:val="1"/>
      <w:numFmt w:val="bullet"/>
      <w:lvlText w:val="•"/>
      <w:lvlJc w:val="left"/>
      <w:pPr>
        <w:tabs>
          <w:tab w:val="num" w:pos="2160"/>
        </w:tabs>
        <w:ind w:left="2160" w:hanging="360"/>
      </w:pPr>
      <w:rPr>
        <w:rFonts w:ascii="Times New Roman" w:hAnsi="Times New Roman" w:hint="default"/>
      </w:rPr>
    </w:lvl>
    <w:lvl w:ilvl="3" w:tplc="6666EFAA" w:tentative="1">
      <w:start w:val="1"/>
      <w:numFmt w:val="bullet"/>
      <w:lvlText w:val="•"/>
      <w:lvlJc w:val="left"/>
      <w:pPr>
        <w:tabs>
          <w:tab w:val="num" w:pos="2880"/>
        </w:tabs>
        <w:ind w:left="2880" w:hanging="360"/>
      </w:pPr>
      <w:rPr>
        <w:rFonts w:ascii="Times New Roman" w:hAnsi="Times New Roman" w:hint="default"/>
      </w:rPr>
    </w:lvl>
    <w:lvl w:ilvl="4" w:tplc="E7903D64" w:tentative="1">
      <w:start w:val="1"/>
      <w:numFmt w:val="bullet"/>
      <w:lvlText w:val="•"/>
      <w:lvlJc w:val="left"/>
      <w:pPr>
        <w:tabs>
          <w:tab w:val="num" w:pos="3600"/>
        </w:tabs>
        <w:ind w:left="3600" w:hanging="360"/>
      </w:pPr>
      <w:rPr>
        <w:rFonts w:ascii="Times New Roman" w:hAnsi="Times New Roman" w:hint="default"/>
      </w:rPr>
    </w:lvl>
    <w:lvl w:ilvl="5" w:tplc="8968D46A" w:tentative="1">
      <w:start w:val="1"/>
      <w:numFmt w:val="bullet"/>
      <w:lvlText w:val="•"/>
      <w:lvlJc w:val="left"/>
      <w:pPr>
        <w:tabs>
          <w:tab w:val="num" w:pos="4320"/>
        </w:tabs>
        <w:ind w:left="4320" w:hanging="360"/>
      </w:pPr>
      <w:rPr>
        <w:rFonts w:ascii="Times New Roman" w:hAnsi="Times New Roman" w:hint="default"/>
      </w:rPr>
    </w:lvl>
    <w:lvl w:ilvl="6" w:tplc="8508111A" w:tentative="1">
      <w:start w:val="1"/>
      <w:numFmt w:val="bullet"/>
      <w:lvlText w:val="•"/>
      <w:lvlJc w:val="left"/>
      <w:pPr>
        <w:tabs>
          <w:tab w:val="num" w:pos="5040"/>
        </w:tabs>
        <w:ind w:left="5040" w:hanging="360"/>
      </w:pPr>
      <w:rPr>
        <w:rFonts w:ascii="Times New Roman" w:hAnsi="Times New Roman" w:hint="default"/>
      </w:rPr>
    </w:lvl>
    <w:lvl w:ilvl="7" w:tplc="6EECAE90" w:tentative="1">
      <w:start w:val="1"/>
      <w:numFmt w:val="bullet"/>
      <w:lvlText w:val="•"/>
      <w:lvlJc w:val="left"/>
      <w:pPr>
        <w:tabs>
          <w:tab w:val="num" w:pos="5760"/>
        </w:tabs>
        <w:ind w:left="5760" w:hanging="360"/>
      </w:pPr>
      <w:rPr>
        <w:rFonts w:ascii="Times New Roman" w:hAnsi="Times New Roman" w:hint="default"/>
      </w:rPr>
    </w:lvl>
    <w:lvl w:ilvl="8" w:tplc="491C36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5E8020A"/>
    <w:multiLevelType w:val="hybridMultilevel"/>
    <w:tmpl w:val="CDE69D38"/>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27796C"/>
    <w:multiLevelType w:val="hybridMultilevel"/>
    <w:tmpl w:val="F4248C7E"/>
    <w:lvl w:ilvl="0" w:tplc="4042A296">
      <w:start w:val="1"/>
      <w:numFmt w:val="bullet"/>
      <w:lvlText w:val="•"/>
      <w:lvlJc w:val="left"/>
      <w:pPr>
        <w:tabs>
          <w:tab w:val="num" w:pos="720"/>
        </w:tabs>
        <w:ind w:left="720" w:hanging="360"/>
      </w:pPr>
      <w:rPr>
        <w:rFonts w:ascii="Times" w:hAnsi="Times" w:hint="default"/>
      </w:rPr>
    </w:lvl>
    <w:lvl w:ilvl="1" w:tplc="D1961E58" w:tentative="1">
      <w:start w:val="1"/>
      <w:numFmt w:val="bullet"/>
      <w:lvlText w:val="•"/>
      <w:lvlJc w:val="left"/>
      <w:pPr>
        <w:tabs>
          <w:tab w:val="num" w:pos="1440"/>
        </w:tabs>
        <w:ind w:left="1440" w:hanging="360"/>
      </w:pPr>
      <w:rPr>
        <w:rFonts w:ascii="Times" w:hAnsi="Times" w:hint="default"/>
      </w:rPr>
    </w:lvl>
    <w:lvl w:ilvl="2" w:tplc="66B23C68" w:tentative="1">
      <w:start w:val="1"/>
      <w:numFmt w:val="bullet"/>
      <w:lvlText w:val="•"/>
      <w:lvlJc w:val="left"/>
      <w:pPr>
        <w:tabs>
          <w:tab w:val="num" w:pos="2160"/>
        </w:tabs>
        <w:ind w:left="2160" w:hanging="360"/>
      </w:pPr>
      <w:rPr>
        <w:rFonts w:ascii="Times" w:hAnsi="Times" w:hint="default"/>
      </w:rPr>
    </w:lvl>
    <w:lvl w:ilvl="3" w:tplc="F5684396" w:tentative="1">
      <w:start w:val="1"/>
      <w:numFmt w:val="bullet"/>
      <w:lvlText w:val="•"/>
      <w:lvlJc w:val="left"/>
      <w:pPr>
        <w:tabs>
          <w:tab w:val="num" w:pos="2880"/>
        </w:tabs>
        <w:ind w:left="2880" w:hanging="360"/>
      </w:pPr>
      <w:rPr>
        <w:rFonts w:ascii="Times" w:hAnsi="Times" w:hint="default"/>
      </w:rPr>
    </w:lvl>
    <w:lvl w:ilvl="4" w:tplc="1ED05672" w:tentative="1">
      <w:start w:val="1"/>
      <w:numFmt w:val="bullet"/>
      <w:lvlText w:val="•"/>
      <w:lvlJc w:val="left"/>
      <w:pPr>
        <w:tabs>
          <w:tab w:val="num" w:pos="3600"/>
        </w:tabs>
        <w:ind w:left="3600" w:hanging="360"/>
      </w:pPr>
      <w:rPr>
        <w:rFonts w:ascii="Times" w:hAnsi="Times" w:hint="default"/>
      </w:rPr>
    </w:lvl>
    <w:lvl w:ilvl="5" w:tplc="B93E2EEA" w:tentative="1">
      <w:start w:val="1"/>
      <w:numFmt w:val="bullet"/>
      <w:lvlText w:val="•"/>
      <w:lvlJc w:val="left"/>
      <w:pPr>
        <w:tabs>
          <w:tab w:val="num" w:pos="4320"/>
        </w:tabs>
        <w:ind w:left="4320" w:hanging="360"/>
      </w:pPr>
      <w:rPr>
        <w:rFonts w:ascii="Times" w:hAnsi="Times" w:hint="default"/>
      </w:rPr>
    </w:lvl>
    <w:lvl w:ilvl="6" w:tplc="25B05394" w:tentative="1">
      <w:start w:val="1"/>
      <w:numFmt w:val="bullet"/>
      <w:lvlText w:val="•"/>
      <w:lvlJc w:val="left"/>
      <w:pPr>
        <w:tabs>
          <w:tab w:val="num" w:pos="5040"/>
        </w:tabs>
        <w:ind w:left="5040" w:hanging="360"/>
      </w:pPr>
      <w:rPr>
        <w:rFonts w:ascii="Times" w:hAnsi="Times" w:hint="default"/>
      </w:rPr>
    </w:lvl>
    <w:lvl w:ilvl="7" w:tplc="B6B25AF6" w:tentative="1">
      <w:start w:val="1"/>
      <w:numFmt w:val="bullet"/>
      <w:lvlText w:val="•"/>
      <w:lvlJc w:val="left"/>
      <w:pPr>
        <w:tabs>
          <w:tab w:val="num" w:pos="5760"/>
        </w:tabs>
        <w:ind w:left="5760" w:hanging="360"/>
      </w:pPr>
      <w:rPr>
        <w:rFonts w:ascii="Times" w:hAnsi="Times" w:hint="default"/>
      </w:rPr>
    </w:lvl>
    <w:lvl w:ilvl="8" w:tplc="12324976" w:tentative="1">
      <w:start w:val="1"/>
      <w:numFmt w:val="bullet"/>
      <w:lvlText w:val="•"/>
      <w:lvlJc w:val="left"/>
      <w:pPr>
        <w:tabs>
          <w:tab w:val="num" w:pos="6480"/>
        </w:tabs>
        <w:ind w:left="6480" w:hanging="360"/>
      </w:pPr>
      <w:rPr>
        <w:rFonts w:ascii="Times" w:hAnsi="Times" w:hint="default"/>
      </w:rPr>
    </w:lvl>
  </w:abstractNum>
  <w:abstractNum w:abstractNumId="24" w15:restartNumberingAfterBreak="0">
    <w:nsid w:val="315E0DD7"/>
    <w:multiLevelType w:val="hybridMultilevel"/>
    <w:tmpl w:val="3288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A6457"/>
    <w:multiLevelType w:val="hybridMultilevel"/>
    <w:tmpl w:val="3F54CCF2"/>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BF19D7"/>
    <w:multiLevelType w:val="multilevel"/>
    <w:tmpl w:val="F3B0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1D716C"/>
    <w:multiLevelType w:val="hybridMultilevel"/>
    <w:tmpl w:val="FA90E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76957DA"/>
    <w:multiLevelType w:val="hybridMultilevel"/>
    <w:tmpl w:val="35BE298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9" w15:restartNumberingAfterBreak="0">
    <w:nsid w:val="4994056C"/>
    <w:multiLevelType w:val="hybridMultilevel"/>
    <w:tmpl w:val="82E4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C37EA0"/>
    <w:multiLevelType w:val="hybridMultilevel"/>
    <w:tmpl w:val="3DB4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77E03"/>
    <w:multiLevelType w:val="hybridMultilevel"/>
    <w:tmpl w:val="1C347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4B340F"/>
    <w:multiLevelType w:val="hybridMultilevel"/>
    <w:tmpl w:val="E5F20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16292B"/>
    <w:multiLevelType w:val="hybridMultilevel"/>
    <w:tmpl w:val="2DD22D3C"/>
    <w:lvl w:ilvl="0" w:tplc="E8AE0B6C">
      <w:start w:val="1"/>
      <w:numFmt w:val="bullet"/>
      <w:lvlText w:val="o"/>
      <w:lvlJc w:val="left"/>
      <w:pPr>
        <w:ind w:left="720" w:hanging="607"/>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5" w15:restartNumberingAfterBreak="0">
    <w:nsid w:val="5A1C2C85"/>
    <w:multiLevelType w:val="hybridMultilevel"/>
    <w:tmpl w:val="4F909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B6246A"/>
    <w:multiLevelType w:val="hybridMultilevel"/>
    <w:tmpl w:val="5F96854E"/>
    <w:lvl w:ilvl="0" w:tplc="89A03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9152F4"/>
    <w:multiLevelType w:val="hybridMultilevel"/>
    <w:tmpl w:val="B112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E123DD"/>
    <w:multiLevelType w:val="hybridMultilevel"/>
    <w:tmpl w:val="2208F0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F4701F9"/>
    <w:multiLevelType w:val="hybridMultilevel"/>
    <w:tmpl w:val="BCD0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01644C"/>
    <w:multiLevelType w:val="hybridMultilevel"/>
    <w:tmpl w:val="019AE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2" w15:restartNumberingAfterBreak="0">
    <w:nsid w:val="699E27B1"/>
    <w:multiLevelType w:val="hybridMultilevel"/>
    <w:tmpl w:val="D2C2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4" w15:restartNumberingAfterBreak="0">
    <w:nsid w:val="72992150"/>
    <w:multiLevelType w:val="hybridMultilevel"/>
    <w:tmpl w:val="26A8841C"/>
    <w:lvl w:ilvl="0" w:tplc="0809000F">
      <w:start w:val="1"/>
      <w:numFmt w:val="decimal"/>
      <w:lvlText w:val="%1."/>
      <w:lvlJc w:val="left"/>
      <w:pPr>
        <w:ind w:left="720" w:hanging="360"/>
      </w:pPr>
    </w:lvl>
    <w:lvl w:ilvl="1" w:tplc="08090019">
      <w:start w:val="1"/>
      <w:numFmt w:val="lowerLetter"/>
      <w:lvlText w:val="%2."/>
      <w:lvlJc w:val="left"/>
      <w:pPr>
        <w:ind w:left="785"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D27839"/>
    <w:multiLevelType w:val="hybridMultilevel"/>
    <w:tmpl w:val="DF4E3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254A07"/>
    <w:multiLevelType w:val="hybridMultilevel"/>
    <w:tmpl w:val="F26E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860E3A"/>
    <w:multiLevelType w:val="hybridMultilevel"/>
    <w:tmpl w:val="3C46A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0"/>
  </w:num>
  <w:num w:numId="3">
    <w:abstractNumId w:val="29"/>
  </w:num>
  <w:num w:numId="4">
    <w:abstractNumId w:val="11"/>
  </w:num>
  <w:num w:numId="5">
    <w:abstractNumId w:val="42"/>
  </w:num>
  <w:num w:numId="6">
    <w:abstractNumId w:val="12"/>
  </w:num>
  <w:num w:numId="7">
    <w:abstractNumId w:val="24"/>
  </w:num>
  <w:num w:numId="8">
    <w:abstractNumId w:val="46"/>
  </w:num>
  <w:num w:numId="9">
    <w:abstractNumId w:val="45"/>
  </w:num>
  <w:num w:numId="10">
    <w:abstractNumId w:val="19"/>
  </w:num>
  <w:num w:numId="11">
    <w:abstractNumId w:val="6"/>
  </w:num>
  <w:num w:numId="12">
    <w:abstractNumId w:val="30"/>
  </w:num>
  <w:num w:numId="13">
    <w:abstractNumId w:val="7"/>
  </w:num>
  <w:num w:numId="14">
    <w:abstractNumId w:val="14"/>
  </w:num>
  <w:num w:numId="15">
    <w:abstractNumId w:val="8"/>
  </w:num>
  <w:num w:numId="16">
    <w:abstractNumId w:val="16"/>
  </w:num>
  <w:num w:numId="17">
    <w:abstractNumId w:val="25"/>
  </w:num>
  <w:num w:numId="18">
    <w:abstractNumId w:val="36"/>
  </w:num>
  <w:num w:numId="19">
    <w:abstractNumId w:val="5"/>
  </w:num>
  <w:num w:numId="20">
    <w:abstractNumId w:val="3"/>
  </w:num>
  <w:num w:numId="21">
    <w:abstractNumId w:val="22"/>
  </w:num>
  <w:num w:numId="22">
    <w:abstractNumId w:val="23"/>
  </w:num>
  <w:num w:numId="23">
    <w:abstractNumId w:val="32"/>
  </w:num>
  <w:num w:numId="24">
    <w:abstractNumId w:val="44"/>
  </w:num>
  <w:num w:numId="25">
    <w:abstractNumId w:val="28"/>
  </w:num>
  <w:num w:numId="26">
    <w:abstractNumId w:val="37"/>
  </w:num>
  <w:num w:numId="27">
    <w:abstractNumId w:val="31"/>
  </w:num>
  <w:num w:numId="28">
    <w:abstractNumId w:val="18"/>
  </w:num>
  <w:num w:numId="29">
    <w:abstractNumId w:val="33"/>
  </w:num>
  <w:num w:numId="30">
    <w:abstractNumId w:val="9"/>
  </w:num>
  <w:num w:numId="31">
    <w:abstractNumId w:val="26"/>
  </w:num>
  <w:num w:numId="32">
    <w:abstractNumId w:val="39"/>
  </w:num>
  <w:num w:numId="33">
    <w:abstractNumId w:val="47"/>
  </w:num>
  <w:num w:numId="34">
    <w:abstractNumId w:val="27"/>
  </w:num>
  <w:num w:numId="35">
    <w:abstractNumId w:val="0"/>
  </w:num>
  <w:num w:numId="36">
    <w:abstractNumId w:val="43"/>
  </w:num>
  <w:num w:numId="37">
    <w:abstractNumId w:val="34"/>
  </w:num>
  <w:num w:numId="38">
    <w:abstractNumId w:val="41"/>
  </w:num>
  <w:num w:numId="39">
    <w:abstractNumId w:val="17"/>
  </w:num>
  <w:num w:numId="40">
    <w:abstractNumId w:val="20"/>
  </w:num>
  <w:num w:numId="41">
    <w:abstractNumId w:val="1"/>
  </w:num>
  <w:num w:numId="42">
    <w:abstractNumId w:val="35"/>
  </w:num>
  <w:num w:numId="43">
    <w:abstractNumId w:val="13"/>
  </w:num>
  <w:num w:numId="44">
    <w:abstractNumId w:val="4"/>
  </w:num>
  <w:num w:numId="45">
    <w:abstractNumId w:val="2"/>
  </w:num>
  <w:num w:numId="46">
    <w:abstractNumId w:val="38"/>
  </w:num>
  <w:num w:numId="47">
    <w:abstractNumId w:val="15"/>
  </w:num>
  <w:num w:numId="48">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593F4C7E-6E4B-4F1B-8B01-50E999EC5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3"/>
      <w:szCs w:val="23"/>
    </w:rPr>
  </w:style>
  <w:style w:type="paragraph" w:styleId="Heading2">
    <w:name w:val="heading 2"/>
    <w:basedOn w:val="Normal"/>
    <w:next w:val="Normal"/>
    <w:link w:val="Heading2Ch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qFormat/>
    <w:pPr>
      <w:keepNext/>
      <w:suppressAutoHyphens/>
      <w:jc w:val="both"/>
      <w:outlineLvl w:val="2"/>
    </w:pPr>
    <w:rPr>
      <w:rFonts w:ascii="Times New Roman" w:hAnsi="Times New Roman" w:cs="Times New Roman"/>
      <w:b/>
      <w:sz w:val="24"/>
      <w:szCs w:val="20"/>
    </w:rPr>
  </w:style>
  <w:style w:type="paragraph" w:styleId="Heading4">
    <w:name w:val="heading 4"/>
    <w:basedOn w:val="Normal"/>
    <w:next w:val="Normal"/>
    <w:qFormat/>
    <w:pPr>
      <w:keepNext/>
      <w:suppressAutoHyphens/>
      <w:jc w:val="center"/>
      <w:outlineLvl w:val="3"/>
    </w:pPr>
    <w:rPr>
      <w:rFonts w:ascii="Times New Roman" w:hAnsi="Times New Roman" w:cs="Times New Roman"/>
      <w:b/>
      <w:spacing w:val="-3"/>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TOC6">
    <w:name w:val="toc 6"/>
    <w:basedOn w:val="Normal"/>
    <w:next w:val="Normal"/>
    <w:semiHidden/>
    <w:pPr>
      <w:tabs>
        <w:tab w:val="left" w:pos="9000"/>
        <w:tab w:val="right" w:pos="9360"/>
      </w:tabs>
      <w:suppressAutoHyphens/>
      <w:ind w:left="720" w:hanging="720"/>
    </w:pPr>
    <w:rPr>
      <w:rFonts w:ascii="Courier" w:hAnsi="Courier" w:cs="Times New Roman"/>
      <w:sz w:val="24"/>
      <w:szCs w:val="20"/>
    </w:rPr>
  </w:style>
  <w:style w:type="paragraph" w:styleId="BodyTextIndent">
    <w:name w:val="Body Text Indent"/>
    <w:basedOn w:val="Normal"/>
    <w:pPr>
      <w:suppressAutoHyphens/>
      <w:ind w:left="720" w:hanging="720"/>
      <w:jc w:val="both"/>
    </w:pPr>
    <w:rPr>
      <w:rFonts w:ascii="Times New Roman" w:hAnsi="Times New Roman" w:cs="Times New Roman"/>
      <w:spacing w:val="-3"/>
      <w:sz w:val="24"/>
      <w:szCs w:val="20"/>
    </w:rPr>
  </w:style>
  <w:style w:type="paragraph" w:styleId="BodyText2">
    <w:name w:val="Body Text 2"/>
    <w:basedOn w:val="Normal"/>
    <w:pPr>
      <w:tabs>
        <w:tab w:val="left" w:pos="-1440"/>
        <w:tab w:val="left" w:pos="-720"/>
        <w:tab w:val="left" w:pos="0"/>
        <w:tab w:val="left" w:pos="806"/>
        <w:tab w:val="left" w:pos="1411"/>
        <w:tab w:val="left" w:pos="2160"/>
      </w:tabs>
      <w:suppressAutoHyphens/>
      <w:jc w:val="both"/>
    </w:pPr>
    <w:rPr>
      <w:rFonts w:ascii="Times New Roman" w:hAnsi="Times New Roman" w:cs="Times New Roman"/>
      <w:spacing w:val="-3"/>
      <w:sz w:val="24"/>
      <w:szCs w:val="20"/>
    </w:rPr>
  </w:style>
  <w:style w:type="paragraph" w:styleId="BodyTextIndent2">
    <w:name w:val="Body Text Indent 2"/>
    <w:basedOn w:val="Normal"/>
    <w:pPr>
      <w:suppressAutoHyphens/>
      <w:ind w:left="720" w:hanging="720"/>
      <w:jc w:val="both"/>
    </w:pPr>
    <w:rPr>
      <w:rFonts w:ascii="Times New Roman" w:hAnsi="Times New Roman" w:cs="Times New Roman"/>
      <w:b/>
      <w:spacing w:val="-3"/>
      <w:sz w:val="24"/>
      <w:szCs w:val="20"/>
    </w:rPr>
  </w:style>
  <w:style w:type="paragraph" w:styleId="BodyTextIndent3">
    <w:name w:val="Body Text Indent 3"/>
    <w:basedOn w:val="Normal"/>
    <w:pPr>
      <w:suppressAutoHyphens/>
      <w:ind w:left="720"/>
      <w:jc w:val="both"/>
    </w:pPr>
    <w:rPr>
      <w:rFonts w:ascii="Times New Roman" w:hAnsi="Times New Roman" w:cs="Times New Roman"/>
      <w:spacing w:val="-3"/>
      <w:sz w:val="24"/>
      <w:szCs w:val="20"/>
    </w:rPr>
  </w:style>
  <w:style w:type="paragraph" w:customStyle="1" w:styleId="Document1">
    <w:name w:val="Document 1"/>
    <w:pPr>
      <w:keepNext/>
      <w:keepLines/>
      <w:tabs>
        <w:tab w:val="left" w:pos="-720"/>
      </w:tabs>
      <w:suppressAutoHyphens/>
    </w:pPr>
    <w:rPr>
      <w:rFonts w:ascii="Courier" w:hAnsi="Courier"/>
      <w:sz w:val="24"/>
    </w:rPr>
  </w:style>
  <w:style w:type="paragraph" w:customStyle="1" w:styleId="Technical4">
    <w:name w:val="Technical 4"/>
    <w:pPr>
      <w:tabs>
        <w:tab w:val="left" w:pos="-720"/>
      </w:tabs>
      <w:suppressAutoHyphens/>
    </w:pPr>
    <w:rPr>
      <w:rFonts w:ascii="Courier" w:hAnsi="Courier"/>
      <w:b/>
      <w:sz w:val="24"/>
    </w:rPr>
  </w:style>
  <w:style w:type="paragraph" w:customStyle="1" w:styleId="Pa0">
    <w:name w:val="Pa0"/>
    <w:basedOn w:val="Normal"/>
    <w:next w:val="Normal"/>
    <w:pPr>
      <w:autoSpaceDE w:val="0"/>
      <w:autoSpaceDN w:val="0"/>
      <w:adjustRightInd w:val="0"/>
      <w:spacing w:line="201" w:lineRule="atLeast"/>
    </w:pPr>
    <w:rPr>
      <w:rFonts w:ascii="Helvetica 45 Light" w:eastAsia="Times" w:hAnsi="Helvetica 45 Light" w:cs="Times New Roman"/>
      <w:sz w:val="24"/>
      <w:szCs w:val="24"/>
    </w:rPr>
  </w:style>
  <w:style w:type="paragraph" w:styleId="PlainText">
    <w:name w:val="Plain Text"/>
    <w:basedOn w:val="Normal"/>
    <w:link w:val="PlainTextChar"/>
    <w:rPr>
      <w:rFonts w:ascii="Courier New" w:hAnsi="Courier New" w:cs="Times New Roman"/>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styleId="ListParagraph">
    <w:name w:val="List Paragraph"/>
    <w:basedOn w:val="Normal"/>
    <w:qFormat/>
    <w:pPr>
      <w:ind w:left="720"/>
      <w:contextualSpacing/>
    </w:pPr>
  </w:style>
  <w:style w:type="character" w:customStyle="1" w:styleId="FooterChar">
    <w:name w:val="Footer Char"/>
    <w:basedOn w:val="DefaultParagraphFont"/>
    <w:link w:val="Footer"/>
    <w:uiPriority w:val="99"/>
    <w:rPr>
      <w:rFonts w:ascii="Arial" w:hAnsi="Arial" w:cs="Arial"/>
      <w:sz w:val="23"/>
      <w:szCs w:val="23"/>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PlainTextChar">
    <w:name w:val="Plain Text Char"/>
    <w:basedOn w:val="DefaultParagraphFont"/>
    <w:link w:val="PlainText"/>
    <w:rPr>
      <w:rFonts w:ascii="Courier New" w:hAnsi="Courier New"/>
    </w:rPr>
  </w:style>
  <w:style w:type="paragraph" w:customStyle="1" w:styleId="Default">
    <w:name w:val="Default"/>
    <w:pPr>
      <w:autoSpaceDE w:val="0"/>
      <w:autoSpaceDN w:val="0"/>
      <w:adjustRightInd w:val="0"/>
    </w:pPr>
    <w:rPr>
      <w:rFonts w:ascii="Franklin Gothic Book" w:eastAsiaTheme="minorHAnsi" w:hAnsi="Franklin Gothic Book" w:cs="Franklin Gothic Book"/>
      <w:color w:val="000000"/>
      <w:sz w:val="24"/>
      <w:szCs w:val="24"/>
      <w:lang w:eastAsia="en-US"/>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pPr>
      <w:spacing w:after="120"/>
    </w:pPr>
  </w:style>
  <w:style w:type="character" w:customStyle="1" w:styleId="BodyTextChar">
    <w:name w:val="Body Text Char"/>
    <w:basedOn w:val="DefaultParagraphFont"/>
    <w:link w:val="BodyText"/>
    <w:rPr>
      <w:rFonts w:ascii="Arial" w:hAnsi="Arial" w:cs="Arial"/>
      <w:sz w:val="23"/>
      <w:szCs w:val="23"/>
    </w:rPr>
  </w:style>
  <w:style w:type="paragraph" w:styleId="NormalWeb">
    <w:name w:val="Normal (Web)"/>
    <w:basedOn w:val="Normal"/>
    <w:uiPriority w:val="99"/>
    <w:semiHidden/>
    <w:unhideWhenUsed/>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semiHidden/>
    <w:unhideWhenUsed/>
    <w:rPr>
      <w:sz w:val="18"/>
      <w:szCs w:val="18"/>
    </w:rPr>
  </w:style>
  <w:style w:type="paragraph" w:styleId="CommentText">
    <w:name w:val="annotation text"/>
    <w:basedOn w:val="Normal"/>
    <w:link w:val="CommentTextChar"/>
    <w:unhideWhenUsed/>
    <w:rPr>
      <w:sz w:val="24"/>
      <w:szCs w:val="24"/>
    </w:rPr>
  </w:style>
  <w:style w:type="character" w:customStyle="1" w:styleId="CommentTextChar">
    <w:name w:val="Comment Text Char"/>
    <w:basedOn w:val="DefaultParagraphFont"/>
    <w:link w:val="CommentText"/>
    <w:rPr>
      <w:rFonts w:ascii="Arial" w:hAnsi="Arial" w:cs="Arial"/>
      <w:sz w:val="24"/>
      <w:szCs w:val="24"/>
    </w:rPr>
  </w:style>
  <w:style w:type="paragraph" w:styleId="CommentSubject">
    <w:name w:val="annotation subject"/>
    <w:basedOn w:val="CommentText"/>
    <w:next w:val="CommentText"/>
    <w:link w:val="CommentSubjectChar"/>
    <w:semiHidden/>
    <w:unhideWhenUsed/>
    <w:rPr>
      <w:b/>
      <w:bCs/>
      <w:sz w:val="20"/>
      <w:szCs w:val="20"/>
    </w:rPr>
  </w:style>
  <w:style w:type="character" w:customStyle="1" w:styleId="CommentSubjectChar">
    <w:name w:val="Comment Subject Char"/>
    <w:basedOn w:val="CommentTextChar"/>
    <w:link w:val="CommentSubject"/>
    <w:semiHidden/>
    <w:rPr>
      <w:rFonts w:ascii="Arial" w:hAnsi="Arial" w:cs="Arial"/>
      <w:b/>
      <w:bCs/>
      <w:sz w:val="24"/>
      <w:szCs w:val="24"/>
    </w:rPr>
  </w:style>
  <w:style w:type="character" w:styleId="FollowedHyperlink">
    <w:name w:val="FollowedHyperlink"/>
    <w:basedOn w:val="DefaultParagraphFont"/>
    <w:semiHidden/>
    <w:unhideWhenUsed/>
    <w:rPr>
      <w:color w:val="954F72" w:themeColor="followedHyperlink"/>
      <w:u w:val="single"/>
    </w:rPr>
  </w:style>
  <w:style w:type="table" w:customStyle="1" w:styleId="TableGrid1">
    <w:name w:val="Table Grid1"/>
    <w:basedOn w:val="TableNormal"/>
    <w:next w:val="TableGrid"/>
    <w:rPr>
      <w:rFonts w:ascii="Calibri" w:eastAsia="Calibri" w:hAnsi="Calibri" w:cs="Calibri"/>
      <w:sz w:val="22"/>
      <w:szCs w:val="22"/>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rFonts w:ascii="Arial" w:hAnsi="Arial" w:cs="Arial"/>
      <w:sz w:val="16"/>
      <w:szCs w:val="16"/>
    </w:rPr>
  </w:style>
  <w:style w:type="paragraph" w:customStyle="1" w:styleId="s23">
    <w:name w:val="s23"/>
    <w:basedOn w:val="Normal"/>
    <w:pPr>
      <w:spacing w:before="100" w:beforeAutospacing="1" w:after="100" w:afterAutospacing="1"/>
    </w:pPr>
    <w:rPr>
      <w:rFonts w:ascii="Times New Roman" w:eastAsiaTheme="minorHAnsi" w:hAnsi="Times New Roman" w:cs="Times New Roman"/>
      <w:sz w:val="24"/>
      <w:szCs w:val="24"/>
    </w:rPr>
  </w:style>
  <w:style w:type="paragraph" w:customStyle="1" w:styleId="s10">
    <w:name w:val="s10"/>
    <w:basedOn w:val="Normal"/>
    <w:pPr>
      <w:spacing w:before="100" w:beforeAutospacing="1" w:after="100" w:afterAutospacing="1"/>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99311">
      <w:bodyDiv w:val="1"/>
      <w:marLeft w:val="0"/>
      <w:marRight w:val="0"/>
      <w:marTop w:val="0"/>
      <w:marBottom w:val="0"/>
      <w:divBdr>
        <w:top w:val="single" w:sz="2" w:space="0" w:color="000000"/>
        <w:left w:val="none" w:sz="0" w:space="0" w:color="auto"/>
        <w:bottom w:val="none" w:sz="0" w:space="0" w:color="auto"/>
        <w:right w:val="none" w:sz="0" w:space="0" w:color="auto"/>
      </w:divBdr>
      <w:divsChild>
        <w:div w:id="1836803820">
          <w:marLeft w:val="0"/>
          <w:marRight w:val="0"/>
          <w:marTop w:val="0"/>
          <w:marBottom w:val="0"/>
          <w:divBdr>
            <w:top w:val="none" w:sz="0" w:space="0" w:color="auto"/>
            <w:left w:val="none" w:sz="0" w:space="0" w:color="auto"/>
            <w:bottom w:val="none" w:sz="0" w:space="0" w:color="auto"/>
            <w:right w:val="none" w:sz="0" w:space="0" w:color="auto"/>
          </w:divBdr>
          <w:divsChild>
            <w:div w:id="34165235">
              <w:marLeft w:val="0"/>
              <w:marRight w:val="0"/>
              <w:marTop w:val="0"/>
              <w:marBottom w:val="0"/>
              <w:divBdr>
                <w:top w:val="none" w:sz="0" w:space="0" w:color="auto"/>
                <w:left w:val="none" w:sz="0" w:space="0" w:color="auto"/>
                <w:bottom w:val="none" w:sz="0" w:space="0" w:color="auto"/>
                <w:right w:val="none" w:sz="0" w:space="0" w:color="auto"/>
              </w:divBdr>
              <w:divsChild>
                <w:div w:id="277758350">
                  <w:marLeft w:val="0"/>
                  <w:marRight w:val="0"/>
                  <w:marTop w:val="0"/>
                  <w:marBottom w:val="0"/>
                  <w:divBdr>
                    <w:top w:val="none" w:sz="0" w:space="0" w:color="auto"/>
                    <w:left w:val="none" w:sz="0" w:space="0" w:color="auto"/>
                    <w:bottom w:val="none" w:sz="0" w:space="0" w:color="auto"/>
                    <w:right w:val="none" w:sz="0" w:space="0" w:color="auto"/>
                  </w:divBdr>
                  <w:divsChild>
                    <w:div w:id="10089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19681">
      <w:bodyDiv w:val="1"/>
      <w:marLeft w:val="0"/>
      <w:marRight w:val="0"/>
      <w:marTop w:val="0"/>
      <w:marBottom w:val="0"/>
      <w:divBdr>
        <w:top w:val="none" w:sz="0" w:space="0" w:color="auto"/>
        <w:left w:val="none" w:sz="0" w:space="0" w:color="auto"/>
        <w:bottom w:val="none" w:sz="0" w:space="0" w:color="auto"/>
        <w:right w:val="none" w:sz="0" w:space="0" w:color="auto"/>
      </w:divBdr>
    </w:div>
    <w:div w:id="860968225">
      <w:bodyDiv w:val="1"/>
      <w:marLeft w:val="0"/>
      <w:marRight w:val="0"/>
      <w:marTop w:val="0"/>
      <w:marBottom w:val="0"/>
      <w:divBdr>
        <w:top w:val="single" w:sz="2" w:space="0" w:color="000000"/>
        <w:left w:val="none" w:sz="0" w:space="0" w:color="auto"/>
        <w:bottom w:val="none" w:sz="0" w:space="0" w:color="auto"/>
        <w:right w:val="none" w:sz="0" w:space="0" w:color="auto"/>
      </w:divBdr>
      <w:divsChild>
        <w:div w:id="2088988631">
          <w:marLeft w:val="0"/>
          <w:marRight w:val="0"/>
          <w:marTop w:val="0"/>
          <w:marBottom w:val="0"/>
          <w:divBdr>
            <w:top w:val="none" w:sz="0" w:space="0" w:color="auto"/>
            <w:left w:val="none" w:sz="0" w:space="0" w:color="auto"/>
            <w:bottom w:val="none" w:sz="0" w:space="0" w:color="auto"/>
            <w:right w:val="none" w:sz="0" w:space="0" w:color="auto"/>
          </w:divBdr>
          <w:divsChild>
            <w:div w:id="1125389560">
              <w:marLeft w:val="0"/>
              <w:marRight w:val="0"/>
              <w:marTop w:val="0"/>
              <w:marBottom w:val="0"/>
              <w:divBdr>
                <w:top w:val="none" w:sz="0" w:space="0" w:color="auto"/>
                <w:left w:val="none" w:sz="0" w:space="0" w:color="auto"/>
                <w:bottom w:val="none" w:sz="0" w:space="0" w:color="auto"/>
                <w:right w:val="none" w:sz="0" w:space="0" w:color="auto"/>
              </w:divBdr>
              <w:divsChild>
                <w:div w:id="1490749172">
                  <w:marLeft w:val="0"/>
                  <w:marRight w:val="0"/>
                  <w:marTop w:val="0"/>
                  <w:marBottom w:val="0"/>
                  <w:divBdr>
                    <w:top w:val="none" w:sz="0" w:space="0" w:color="auto"/>
                    <w:left w:val="none" w:sz="0" w:space="0" w:color="auto"/>
                    <w:bottom w:val="none" w:sz="0" w:space="0" w:color="auto"/>
                    <w:right w:val="none" w:sz="0" w:space="0" w:color="auto"/>
                  </w:divBdr>
                  <w:divsChild>
                    <w:div w:id="2691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563176">
      <w:bodyDiv w:val="1"/>
      <w:marLeft w:val="0"/>
      <w:marRight w:val="0"/>
      <w:marTop w:val="0"/>
      <w:marBottom w:val="0"/>
      <w:divBdr>
        <w:top w:val="none" w:sz="0" w:space="0" w:color="auto"/>
        <w:left w:val="none" w:sz="0" w:space="0" w:color="auto"/>
        <w:bottom w:val="none" w:sz="0" w:space="0" w:color="auto"/>
        <w:right w:val="none" w:sz="0" w:space="0" w:color="auto"/>
      </w:divBdr>
      <w:divsChild>
        <w:div w:id="1778059943">
          <w:marLeft w:val="0"/>
          <w:marRight w:val="0"/>
          <w:marTop w:val="0"/>
          <w:marBottom w:val="0"/>
          <w:divBdr>
            <w:top w:val="none" w:sz="0" w:space="0" w:color="auto"/>
            <w:left w:val="none" w:sz="0" w:space="0" w:color="auto"/>
            <w:bottom w:val="none" w:sz="0" w:space="0" w:color="auto"/>
            <w:right w:val="none" w:sz="0" w:space="0" w:color="auto"/>
          </w:divBdr>
          <w:divsChild>
            <w:div w:id="684790438">
              <w:marLeft w:val="0"/>
              <w:marRight w:val="0"/>
              <w:marTop w:val="0"/>
              <w:marBottom w:val="0"/>
              <w:divBdr>
                <w:top w:val="none" w:sz="0" w:space="0" w:color="auto"/>
                <w:left w:val="none" w:sz="0" w:space="0" w:color="auto"/>
                <w:bottom w:val="none" w:sz="0" w:space="0" w:color="auto"/>
                <w:right w:val="none" w:sz="0" w:space="0" w:color="auto"/>
              </w:divBdr>
              <w:divsChild>
                <w:div w:id="11975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4258">
      <w:bodyDiv w:val="1"/>
      <w:marLeft w:val="0"/>
      <w:marRight w:val="0"/>
      <w:marTop w:val="0"/>
      <w:marBottom w:val="0"/>
      <w:divBdr>
        <w:top w:val="none" w:sz="0" w:space="0" w:color="auto"/>
        <w:left w:val="none" w:sz="0" w:space="0" w:color="auto"/>
        <w:bottom w:val="none" w:sz="0" w:space="0" w:color="auto"/>
        <w:right w:val="none" w:sz="0" w:space="0" w:color="auto"/>
      </w:divBdr>
      <w:divsChild>
        <w:div w:id="704211083">
          <w:marLeft w:val="0"/>
          <w:marRight w:val="0"/>
          <w:marTop w:val="0"/>
          <w:marBottom w:val="0"/>
          <w:divBdr>
            <w:top w:val="none" w:sz="0" w:space="0" w:color="auto"/>
            <w:left w:val="none" w:sz="0" w:space="0" w:color="auto"/>
            <w:bottom w:val="none" w:sz="0" w:space="0" w:color="auto"/>
            <w:right w:val="none" w:sz="0" w:space="0" w:color="auto"/>
          </w:divBdr>
          <w:divsChild>
            <w:div w:id="181020352">
              <w:marLeft w:val="0"/>
              <w:marRight w:val="0"/>
              <w:marTop w:val="0"/>
              <w:marBottom w:val="0"/>
              <w:divBdr>
                <w:top w:val="none" w:sz="0" w:space="0" w:color="auto"/>
                <w:left w:val="none" w:sz="0" w:space="0" w:color="auto"/>
                <w:bottom w:val="none" w:sz="0" w:space="0" w:color="auto"/>
                <w:right w:val="none" w:sz="0" w:space="0" w:color="auto"/>
              </w:divBdr>
              <w:divsChild>
                <w:div w:id="19707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5674">
      <w:bodyDiv w:val="1"/>
      <w:marLeft w:val="0"/>
      <w:marRight w:val="0"/>
      <w:marTop w:val="0"/>
      <w:marBottom w:val="0"/>
      <w:divBdr>
        <w:top w:val="none" w:sz="0" w:space="0" w:color="auto"/>
        <w:left w:val="none" w:sz="0" w:space="0" w:color="auto"/>
        <w:bottom w:val="none" w:sz="0" w:space="0" w:color="auto"/>
        <w:right w:val="none" w:sz="0" w:space="0" w:color="auto"/>
      </w:divBdr>
    </w:div>
    <w:div w:id="1753115105">
      <w:bodyDiv w:val="1"/>
      <w:marLeft w:val="0"/>
      <w:marRight w:val="0"/>
      <w:marTop w:val="0"/>
      <w:marBottom w:val="0"/>
      <w:divBdr>
        <w:top w:val="single" w:sz="2" w:space="0" w:color="000000"/>
        <w:left w:val="none" w:sz="0" w:space="0" w:color="auto"/>
        <w:bottom w:val="none" w:sz="0" w:space="0" w:color="auto"/>
        <w:right w:val="none" w:sz="0" w:space="0" w:color="auto"/>
      </w:divBdr>
      <w:divsChild>
        <w:div w:id="111246724">
          <w:marLeft w:val="0"/>
          <w:marRight w:val="0"/>
          <w:marTop w:val="0"/>
          <w:marBottom w:val="0"/>
          <w:divBdr>
            <w:top w:val="none" w:sz="0" w:space="0" w:color="auto"/>
            <w:left w:val="none" w:sz="0" w:space="0" w:color="auto"/>
            <w:bottom w:val="none" w:sz="0" w:space="0" w:color="auto"/>
            <w:right w:val="none" w:sz="0" w:space="0" w:color="auto"/>
          </w:divBdr>
          <w:divsChild>
            <w:div w:id="423763456">
              <w:marLeft w:val="0"/>
              <w:marRight w:val="0"/>
              <w:marTop w:val="0"/>
              <w:marBottom w:val="0"/>
              <w:divBdr>
                <w:top w:val="none" w:sz="0" w:space="0" w:color="auto"/>
                <w:left w:val="none" w:sz="0" w:space="0" w:color="auto"/>
                <w:bottom w:val="none" w:sz="0" w:space="0" w:color="auto"/>
                <w:right w:val="none" w:sz="0" w:space="0" w:color="auto"/>
              </w:divBdr>
              <w:divsChild>
                <w:div w:id="2000304556">
                  <w:marLeft w:val="0"/>
                  <w:marRight w:val="0"/>
                  <w:marTop w:val="0"/>
                  <w:marBottom w:val="0"/>
                  <w:divBdr>
                    <w:top w:val="none" w:sz="0" w:space="0" w:color="auto"/>
                    <w:left w:val="none" w:sz="0" w:space="0" w:color="auto"/>
                    <w:bottom w:val="none" w:sz="0" w:space="0" w:color="auto"/>
                    <w:right w:val="none" w:sz="0" w:space="0" w:color="auto"/>
                  </w:divBdr>
                  <w:divsChild>
                    <w:div w:id="3504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405">
      <w:bodyDiv w:val="1"/>
      <w:marLeft w:val="0"/>
      <w:marRight w:val="0"/>
      <w:marTop w:val="0"/>
      <w:marBottom w:val="0"/>
      <w:divBdr>
        <w:top w:val="none" w:sz="0" w:space="0" w:color="auto"/>
        <w:left w:val="none" w:sz="0" w:space="0" w:color="auto"/>
        <w:bottom w:val="none" w:sz="0" w:space="0" w:color="auto"/>
        <w:right w:val="none" w:sz="0" w:space="0" w:color="auto"/>
      </w:divBdr>
      <w:divsChild>
        <w:div w:id="1101953572">
          <w:marLeft w:val="0"/>
          <w:marRight w:val="0"/>
          <w:marTop w:val="0"/>
          <w:marBottom w:val="0"/>
          <w:divBdr>
            <w:top w:val="none" w:sz="0" w:space="0" w:color="auto"/>
            <w:left w:val="none" w:sz="0" w:space="0" w:color="auto"/>
            <w:bottom w:val="none" w:sz="0" w:space="0" w:color="auto"/>
            <w:right w:val="none" w:sz="0" w:space="0" w:color="auto"/>
          </w:divBdr>
          <w:divsChild>
            <w:div w:id="967778528">
              <w:marLeft w:val="0"/>
              <w:marRight w:val="0"/>
              <w:marTop w:val="0"/>
              <w:marBottom w:val="0"/>
              <w:divBdr>
                <w:top w:val="none" w:sz="0" w:space="0" w:color="auto"/>
                <w:left w:val="none" w:sz="0" w:space="0" w:color="auto"/>
                <w:bottom w:val="none" w:sz="0" w:space="0" w:color="auto"/>
                <w:right w:val="none" w:sz="0" w:space="0" w:color="auto"/>
              </w:divBdr>
              <w:divsChild>
                <w:div w:id="586769893">
                  <w:marLeft w:val="0"/>
                  <w:marRight w:val="0"/>
                  <w:marTop w:val="0"/>
                  <w:marBottom w:val="0"/>
                  <w:divBdr>
                    <w:top w:val="none" w:sz="0" w:space="0" w:color="auto"/>
                    <w:left w:val="none" w:sz="0" w:space="0" w:color="auto"/>
                    <w:bottom w:val="none" w:sz="0" w:space="0" w:color="auto"/>
                    <w:right w:val="none" w:sz="0" w:space="0" w:color="auto"/>
                  </w:divBdr>
                  <w:divsChild>
                    <w:div w:id="1626817011">
                      <w:marLeft w:val="0"/>
                      <w:marRight w:val="0"/>
                      <w:marTop w:val="0"/>
                      <w:marBottom w:val="0"/>
                      <w:divBdr>
                        <w:top w:val="none" w:sz="0" w:space="0" w:color="auto"/>
                        <w:left w:val="none" w:sz="0" w:space="0" w:color="auto"/>
                        <w:bottom w:val="none" w:sz="0" w:space="0" w:color="auto"/>
                        <w:right w:val="none" w:sz="0" w:space="0" w:color="auto"/>
                      </w:divBdr>
                      <w:divsChild>
                        <w:div w:id="1451899697">
                          <w:marLeft w:val="0"/>
                          <w:marRight w:val="0"/>
                          <w:marTop w:val="0"/>
                          <w:marBottom w:val="0"/>
                          <w:divBdr>
                            <w:top w:val="none" w:sz="0" w:space="0" w:color="auto"/>
                            <w:left w:val="none" w:sz="0" w:space="0" w:color="auto"/>
                            <w:bottom w:val="none" w:sz="0" w:space="0" w:color="auto"/>
                            <w:right w:val="none" w:sz="0" w:space="0" w:color="auto"/>
                          </w:divBdr>
                          <w:divsChild>
                            <w:div w:id="976450931">
                              <w:marLeft w:val="0"/>
                              <w:marRight w:val="0"/>
                              <w:marTop w:val="0"/>
                              <w:marBottom w:val="0"/>
                              <w:divBdr>
                                <w:top w:val="none" w:sz="0" w:space="0" w:color="auto"/>
                                <w:left w:val="none" w:sz="0" w:space="0" w:color="auto"/>
                                <w:bottom w:val="none" w:sz="0" w:space="0" w:color="auto"/>
                                <w:right w:val="none" w:sz="0" w:space="0" w:color="auto"/>
                              </w:divBdr>
                              <w:divsChild>
                                <w:div w:id="11939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527371">
      <w:bodyDiv w:val="1"/>
      <w:marLeft w:val="0"/>
      <w:marRight w:val="0"/>
      <w:marTop w:val="0"/>
      <w:marBottom w:val="0"/>
      <w:divBdr>
        <w:top w:val="none" w:sz="0" w:space="0" w:color="auto"/>
        <w:left w:val="none" w:sz="0" w:space="0" w:color="auto"/>
        <w:bottom w:val="none" w:sz="0" w:space="0" w:color="auto"/>
        <w:right w:val="none" w:sz="0" w:space="0" w:color="auto"/>
      </w:divBdr>
      <w:divsChild>
        <w:div w:id="192614861">
          <w:marLeft w:val="0"/>
          <w:marRight w:val="0"/>
          <w:marTop w:val="0"/>
          <w:marBottom w:val="0"/>
          <w:divBdr>
            <w:top w:val="none" w:sz="0" w:space="0" w:color="auto"/>
            <w:left w:val="none" w:sz="0" w:space="0" w:color="auto"/>
            <w:bottom w:val="none" w:sz="0" w:space="0" w:color="auto"/>
            <w:right w:val="none" w:sz="0" w:space="0" w:color="auto"/>
          </w:divBdr>
          <w:divsChild>
            <w:div w:id="1492257413">
              <w:marLeft w:val="0"/>
              <w:marRight w:val="0"/>
              <w:marTop w:val="0"/>
              <w:marBottom w:val="0"/>
              <w:divBdr>
                <w:top w:val="none" w:sz="0" w:space="0" w:color="auto"/>
                <w:left w:val="none" w:sz="0" w:space="0" w:color="auto"/>
                <w:bottom w:val="none" w:sz="0" w:space="0" w:color="auto"/>
                <w:right w:val="none" w:sz="0" w:space="0" w:color="auto"/>
              </w:divBdr>
              <w:divsChild>
                <w:div w:id="12459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omoting-the-education-of-looked-after-children" TargetMode="External"/><Relationship Id="rId18" Type="http://schemas.openxmlformats.org/officeDocument/2006/relationships/hyperlink" Target="mailto:virtualschool@lincolnshire.gov.uk" TargetMode="External"/><Relationship Id="rId26" Type="http://schemas.openxmlformats.org/officeDocument/2006/relationships/hyperlink" Target="https://www.gov.uk/government/publications/national-action-plan-to-tackle-child-abuse-linked-to-faith-or-belief" TargetMode="External"/><Relationship Id="rId39" Type="http://schemas.openxmlformats.org/officeDocument/2006/relationships/hyperlink" Target="https://www.disrespectnobody.co.uk/sexting/what-is-sexting/" TargetMode="External"/><Relationship Id="rId21" Type="http://schemas.openxmlformats.org/officeDocument/2006/relationships/hyperlink" Target="https://www.gov.uk/government/publications/what-to-do-if-you-suspect-a-child-is-being-sexually-exploited" TargetMode="External"/><Relationship Id="rId34" Type="http://schemas.openxmlformats.org/officeDocument/2006/relationships/hyperlink" Target="http://educateagainsthate.com/" TargetMode="External"/><Relationship Id="rId42" Type="http://schemas.openxmlformats.org/officeDocument/2006/relationships/hyperlink" Target="http://www.lincolnshire.gov.uk/lscb" TargetMode="External"/><Relationship Id="rId47" Type="http://schemas.openxmlformats.org/officeDocument/2006/relationships/image" Target="media/image3.png"/><Relationship Id="rId50" Type="http://schemas.openxmlformats.org/officeDocument/2006/relationships/hyperlink" Target="mailto:Channel@nottinghamshire.pnn.police.uk%20" TargetMode="External"/><Relationship Id="rId55" Type="http://schemas.openxmlformats.org/officeDocument/2006/relationships/hyperlink" Target="mailto:Channel@nottinghamshire.pnn.police.uk%2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urphy@lincolnutc.co.uk" TargetMode="External"/><Relationship Id="rId20" Type="http://schemas.openxmlformats.org/officeDocument/2006/relationships/hyperlink" Target="https://www.gov.uk/government/publications/children-who-run-away-or-go-missing-from-home-or-care" TargetMode="External"/><Relationship Id="rId29" Type="http://schemas.openxmlformats.org/officeDocument/2006/relationships/hyperlink" Target="https://www.gov.uk/government/uploads/system/uploads/attachment_data/file/418131/Preventing_youth_violence_and_gang_involvement_v3_March2015.pdf" TargetMode="External"/><Relationship Id="rId41" Type="http://schemas.openxmlformats.org/officeDocument/2006/relationships/hyperlink" Target="http://www.lincolnshire.gov.uk/lscb/the-lscb/" TargetMode="External"/><Relationship Id="rId54" Type="http://schemas.openxmlformats.org/officeDocument/2006/relationships/hyperlink" Target="http://www.lincolnshire.gov.uk/emte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revent-duty-guidance" TargetMode="External"/><Relationship Id="rId24" Type="http://schemas.openxmlformats.org/officeDocument/2006/relationships/hyperlink" Target="https://www.gov.uk/government/publications/drugs-advice-for-schools" TargetMode="External"/><Relationship Id="rId32" Type="http://schemas.openxmlformats.org/officeDocument/2006/relationships/hyperlink" Target="https://www.gov.uk/government/collections/this-is-abuse-campaign" TargetMode="External"/><Relationship Id="rId37" Type="http://schemas.openxmlformats.org/officeDocument/2006/relationships/hyperlink" Target="https://www.gov.uk/government/publications/prevent-duty-guidance&#160;" TargetMode="External"/><Relationship Id="rId40" Type="http://schemas.openxmlformats.org/officeDocument/2006/relationships/hyperlink" Target="http://www.legislation.gov.uk/ukpga/2015/6/contents" TargetMode="External"/><Relationship Id="rId45" Type="http://schemas.openxmlformats.org/officeDocument/2006/relationships/image" Target="media/image2.wmf"/><Relationship Id="rId53" Type="http://schemas.openxmlformats.org/officeDocument/2006/relationships/hyperlink" Target="mailto:prevent@lincs.pnn.police.uk" TargetMode="External"/><Relationship Id="rId58" Type="http://schemas.openxmlformats.org/officeDocument/2006/relationships/hyperlink" Target="http://uk.sitestat.com/lincolnshire/lincolnshire/s?Home.Download.95304&amp;ns_type=pdf&amp;ns_url=http://www.lincolnshire.gov.uk/download/95304" TargetMode="External"/><Relationship Id="rId5" Type="http://schemas.openxmlformats.org/officeDocument/2006/relationships/webSettings" Target="webSettings.xml"/><Relationship Id="rId15" Type="http://schemas.openxmlformats.org/officeDocument/2006/relationships/hyperlink" Target="mailto:kbreward@lincolnutc.co.uk" TargetMode="External"/><Relationship Id="rId23" Type="http://schemas.openxmlformats.org/officeDocument/2006/relationships/hyperlink" Target="https://www.gov.uk/guidance/domestic-violence-and-abuse" TargetMode="External"/><Relationship Id="rId28" Type="http://schemas.openxmlformats.org/officeDocument/2006/relationships/hyperlink" Target="https://www.gov.uk/guidance/forced-marriage" TargetMode="External"/><Relationship Id="rId36" Type="http://schemas.openxmlformats.org/officeDocument/2006/relationships/hyperlink" Target="https://www.gov.uk/government/publications/missing-children-and-adults-strategy" TargetMode="External"/><Relationship Id="rId49" Type="http://schemas.openxmlformats.org/officeDocument/2006/relationships/footer" Target="footer3.xml"/><Relationship Id="rId57" Type="http://schemas.openxmlformats.org/officeDocument/2006/relationships/hyperlink" Target="http://lincolnshirescb.proceduresonline.com/chapters/pr_joint_miss.html" TargetMode="External"/><Relationship Id="rId61"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gov.uk/government/publications/school-attendance" TargetMode="External"/><Relationship Id="rId31" Type="http://schemas.openxmlformats.org/officeDocument/2006/relationships/hyperlink" Target="https://www.gov.uk/government/publications/children-act-1989-private-fostering" TargetMode="External"/><Relationship Id="rId44" Type="http://schemas.openxmlformats.org/officeDocument/2006/relationships/hyperlink" Target="https://www.gov.uk/government/publications/prevent-duty-guidance" TargetMode="External"/><Relationship Id="rId52" Type="http://schemas.openxmlformats.org/officeDocument/2006/relationships/hyperlink" Target="mailto:ruth.fox@lincolnshire.gov.uk"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lowe@lincolnutc.co.uk" TargetMode="External"/><Relationship Id="rId22" Type="http://schemas.openxmlformats.org/officeDocument/2006/relationships/hyperlink" Target="https://www.gov.uk/government/publications/preventing-and-tackling-bullying" TargetMode="External"/><Relationship Id="rId27" Type="http://schemas.openxmlformats.org/officeDocument/2006/relationships/hyperlink" Target="https://www.gov.uk/government/publications/multi-agency-statutory-guidance-on-female-genital-mutilation" TargetMode="External"/><Relationship Id="rId30" Type="http://schemas.openxmlformats.org/officeDocument/2006/relationships/hyperlink" Target="https://www.gov.uk/government/policies/violence-against-women-and-girls" TargetMode="External"/><Relationship Id="rId35" Type="http://schemas.openxmlformats.org/officeDocument/2006/relationships/hyperlink" Target="https://www.gov.uk/government/publications/mental-health-and-behaviour-in-schools--2" TargetMode="External"/><Relationship Id="rId43" Type="http://schemas.openxmlformats.org/officeDocument/2006/relationships/hyperlink" Target="http://uk.sitestat.com/lincolnshire/lincolnshire/s?Home.lscb.professionals.support.training.124632.articleDownload.97016&amp;ns_type=pdf&amp;ns_url=http://www.lincolnshire.gov.uk//Download/97016" TargetMode="External"/><Relationship Id="rId48" Type="http://schemas.openxmlformats.org/officeDocument/2006/relationships/header" Target="header1.xml"/><Relationship Id="rId56" Type="http://schemas.openxmlformats.org/officeDocument/2006/relationships/hyperlink" Target="mailto:Channel@lincs.pnn.police.u" TargetMode="External"/><Relationship Id="rId8" Type="http://schemas.openxmlformats.org/officeDocument/2006/relationships/image" Target="media/image1.jpeg"/><Relationship Id="rId51" Type="http://schemas.openxmlformats.org/officeDocument/2006/relationships/hyperlink" Target="http://www.ascl.org.uk/help-and-advice/help-and-advice.extremism-and-radicalisation.html" TargetMode="External"/><Relationship Id="rId3" Type="http://schemas.openxmlformats.org/officeDocument/2006/relationships/styles" Target="styles.xml"/><Relationship Id="rId12" Type="http://schemas.openxmlformats.org/officeDocument/2006/relationships/hyperlink" Target="http://uk.sitestat.com/lincolnshire/lincolnshire/s?Home.lscb.professionals.support.training.124632.articleDownload.97016&amp;ns_type=pdf&amp;ns_url=http://www.lincolnshire.gov.uk//Download/97016" TargetMode="External"/><Relationship Id="rId17" Type="http://schemas.openxmlformats.org/officeDocument/2006/relationships/hyperlink" Target="mailto:clowe@lincolnutc.co.uk" TargetMode="External"/><Relationship Id="rId25" Type="http://schemas.openxmlformats.org/officeDocument/2006/relationships/hyperlink" Target="https://www.gov.uk/government/publications/safeguarding-children-in-whom-illness-is-fabricated-or-induced" TargetMode="External"/><Relationship Id="rId33" Type="http://schemas.openxmlformats.org/officeDocument/2006/relationships/hyperlink" Target="https://www.gov.uk/government/publications/safeguarding-children-who-may-have-been-trafficked-practice-guidance" TargetMode="External"/><Relationship Id="rId38" Type="http://schemas.openxmlformats.org/officeDocument/2006/relationships/hyperlink" Target="https://www.disrespectnobody.co.uk/relationship-abuse/what-is-relationship-abuse/" TargetMode="External"/><Relationship Id="rId46" Type="http://schemas.openxmlformats.org/officeDocument/2006/relationships/oleObject" Target="embeddings/oleObject1.bin"/><Relationship Id="rId59" Type="http://schemas.openxmlformats.org/officeDocument/2006/relationships/hyperlink" Target="https://www.gov.uk/government/publications/multi-agency-statutory-guidance-on-female-genital-muti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35096-C633-4399-89E5-7E76E7FBB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10249</Words>
  <Characters>60230</Characters>
  <Application>Microsoft Office Word</Application>
  <DocSecurity>0</DocSecurity>
  <Lines>501</Lines>
  <Paragraphs>140</Paragraphs>
  <ScaleCrop>false</ScaleCrop>
  <HeadingPairs>
    <vt:vector size="2" baseType="variant">
      <vt:variant>
        <vt:lpstr>Title</vt:lpstr>
      </vt:variant>
      <vt:variant>
        <vt:i4>1</vt:i4>
      </vt:variant>
    </vt:vector>
  </HeadingPairs>
  <TitlesOfParts>
    <vt:vector size="1" baseType="lpstr">
      <vt:lpstr></vt:lpstr>
    </vt:vector>
  </TitlesOfParts>
  <Manager/>
  <Company>Lincoln College</Company>
  <LinksUpToDate>false</LinksUpToDate>
  <CharactersWithSpaces>70339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sadams</dc:creator>
  <cp:keywords/>
  <dc:description/>
  <cp:lastModifiedBy>Stuart Hamer</cp:lastModifiedBy>
  <cp:revision>3</cp:revision>
  <cp:lastPrinted>2019-02-08T08:23:00Z</cp:lastPrinted>
  <dcterms:created xsi:type="dcterms:W3CDTF">2019-04-23T13:13:00Z</dcterms:created>
  <dcterms:modified xsi:type="dcterms:W3CDTF">2019-04-25T07:53:00Z</dcterms:modified>
  <cp:category/>
</cp:coreProperties>
</file>